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b/>
          <w:bCs/>
          <w:sz w:val="52"/>
          <w:szCs w:val="52"/>
        </w:rPr>
      </w:pPr>
      <w:bookmarkStart w:id="0" w:name="_Hlk102137396"/>
    </w:p>
    <w:p>
      <w:pPr>
        <w:jc w:val="center"/>
        <w:rPr>
          <w:b/>
          <w:bCs/>
          <w:sz w:val="52"/>
          <w:szCs w:val="52"/>
        </w:rPr>
      </w:pPr>
      <w:r>
        <w:rPr>
          <w:rFonts w:hint="eastAsia"/>
          <w:b/>
          <w:bCs/>
          <w:sz w:val="52"/>
          <w:szCs w:val="52"/>
        </w:rPr>
        <w:t>北京市市级预算部门整体</w:t>
      </w:r>
    </w:p>
    <w:p>
      <w:pPr>
        <w:jc w:val="center"/>
        <w:rPr>
          <w:b/>
          <w:bCs/>
          <w:sz w:val="52"/>
          <w:szCs w:val="52"/>
        </w:rPr>
      </w:pPr>
      <w:r>
        <w:rPr>
          <w:rFonts w:hint="eastAsia"/>
          <w:b/>
          <w:bCs/>
          <w:sz w:val="52"/>
          <w:szCs w:val="52"/>
        </w:rPr>
        <w:t>绩效评价报告</w:t>
      </w:r>
    </w:p>
    <w:bookmarkEnd w:id="0"/>
    <w:p/>
    <w:p/>
    <w:p/>
    <w:p/>
    <w:p/>
    <w:p/>
    <w:p/>
    <w:p/>
    <w:p/>
    <w:p/>
    <w:p/>
    <w:p/>
    <w:p/>
    <w:p/>
    <w:p/>
    <w:p/>
    <w:p/>
    <w:p/>
    <w:p>
      <w:pPr>
        <w:ind w:firstLine="1120" w:firstLineChars="350"/>
        <w:jc w:val="left"/>
        <w:rPr>
          <w:rFonts w:ascii="宋体" w:hAnsi="宋体"/>
          <w:sz w:val="32"/>
          <w:u w:val="single"/>
        </w:rPr>
      </w:pPr>
      <w:r>
        <w:rPr>
          <w:rFonts w:hint="eastAsia" w:ascii="宋体" w:hAnsi="宋体"/>
          <w:sz w:val="32"/>
        </w:rPr>
        <w:t xml:space="preserve">部门名称 </w:t>
      </w:r>
      <w:r>
        <w:rPr>
          <w:rFonts w:hint="eastAsia" w:ascii="宋体" w:hAnsi="宋体"/>
          <w:sz w:val="32"/>
          <w:u w:val="single"/>
        </w:rPr>
        <w:t>北京市社会福利事务管理中心</w:t>
      </w:r>
    </w:p>
    <w:p>
      <w:pPr>
        <w:ind w:firstLine="1120" w:firstLineChars="350"/>
        <w:rPr>
          <w:rFonts w:ascii="宋体" w:hAnsi="宋体"/>
          <w:sz w:val="32"/>
          <w:u w:val="single"/>
        </w:rPr>
      </w:pPr>
    </w:p>
    <w:p>
      <w:pPr>
        <w:ind w:firstLine="1120" w:firstLineChars="350"/>
        <w:rPr>
          <w:rFonts w:ascii="宋体" w:hAnsi="宋体"/>
          <w:sz w:val="32"/>
          <w:u w:val="single"/>
        </w:rPr>
      </w:pPr>
    </w:p>
    <w:p>
      <w:pPr>
        <w:ind w:firstLine="1120" w:firstLineChars="350"/>
        <w:rPr>
          <w:rFonts w:ascii="宋体" w:hAnsi="宋体"/>
          <w:spacing w:val="-22"/>
          <w:sz w:val="32"/>
          <w:szCs w:val="32"/>
          <w:u w:val="single"/>
        </w:rPr>
      </w:pPr>
      <w:r>
        <w:rPr>
          <w:rFonts w:hint="eastAsia" w:ascii="宋体" w:hAnsi="宋体"/>
          <w:sz w:val="32"/>
        </w:rPr>
        <w:t xml:space="preserve">评价机构 </w:t>
      </w:r>
      <w:r>
        <w:rPr>
          <w:rFonts w:hint="eastAsia" w:ascii="宋体" w:hAnsi="宋体"/>
          <w:sz w:val="32"/>
          <w:u w:val="single"/>
        </w:rPr>
        <w:t xml:space="preserve">  北京市社会福利事务管理中心 </w:t>
      </w:r>
    </w:p>
    <w:p>
      <w:pPr>
        <w:rPr>
          <w:rFonts w:eastAsia="黑体"/>
          <w:sz w:val="30"/>
          <w:u w:val="single"/>
        </w:rPr>
      </w:pPr>
    </w:p>
    <w:p>
      <w:pPr>
        <w:ind w:firstLine="1500" w:firstLineChars="500"/>
        <w:rPr>
          <w:rFonts w:eastAsia="黑体"/>
          <w:sz w:val="30"/>
          <w:u w:val="single"/>
        </w:rPr>
      </w:pPr>
    </w:p>
    <w:p>
      <w:pPr>
        <w:jc w:val="center"/>
        <w:rPr>
          <w:rFonts w:eastAsia="黑体"/>
          <w:sz w:val="36"/>
          <w:szCs w:val="36"/>
        </w:rPr>
      </w:pPr>
    </w:p>
    <w:p>
      <w:pPr>
        <w:jc w:val="center"/>
        <w:rPr>
          <w:rFonts w:eastAsia="黑体"/>
          <w:sz w:val="36"/>
          <w:szCs w:val="36"/>
        </w:rPr>
      </w:pPr>
      <w:r>
        <w:rPr>
          <w:rFonts w:hint="eastAsia" w:eastAsia="黑体"/>
          <w:sz w:val="36"/>
          <w:szCs w:val="36"/>
        </w:rPr>
        <w:t>2022年 05月</w:t>
      </w:r>
    </w:p>
    <w:p/>
    <w:p>
      <w:pPr>
        <w:pStyle w:val="12"/>
        <w:jc w:val="center"/>
        <w:rPr>
          <w:rFonts w:ascii="黑体" w:hAnsi="黑体" w:eastAsia="黑体"/>
          <w:color w:val="auto"/>
          <w:sz w:val="44"/>
          <w:szCs w:val="44"/>
        </w:rPr>
      </w:pPr>
      <w:r>
        <w:rPr>
          <w:rFonts w:ascii="黑体" w:hAnsi="黑体" w:eastAsia="黑体"/>
          <w:color w:val="auto"/>
          <w:sz w:val="44"/>
          <w:szCs w:val="44"/>
          <w:lang w:val="zh-CN"/>
        </w:rPr>
        <w:t>目录</w:t>
      </w:r>
    </w:p>
    <w:p>
      <w:pPr>
        <w:pStyle w:val="7"/>
        <w:rPr>
          <w:rFonts w:ascii="等线" w:hAnsi="等线" w:eastAsia="等线" w:cs="黑体"/>
          <w:sz w:val="28"/>
          <w:szCs w:val="28"/>
        </w:rPr>
      </w:pPr>
      <w:r>
        <w:fldChar w:fldCharType="begin"/>
      </w:r>
      <w:r>
        <w:instrText xml:space="preserve"> TOC \o "1-3" \h \z \u </w:instrText>
      </w:r>
      <w:r>
        <w:fldChar w:fldCharType="separate"/>
      </w:r>
      <w:r>
        <w:fldChar w:fldCharType="begin"/>
      </w:r>
      <w:r>
        <w:instrText xml:space="preserve">HYPERLINK  \l "_Toc103086329" </w:instrText>
      </w:r>
      <w:r>
        <w:fldChar w:fldCharType="separate"/>
      </w:r>
      <w:r>
        <w:rPr>
          <w:rStyle w:val="10"/>
          <w:rFonts w:ascii="仿宋_GB2312" w:hAnsi="黑体" w:eastAsia="仿宋_GB2312" w:cs="宋体"/>
          <w:kern w:val="0"/>
          <w:sz w:val="28"/>
          <w:szCs w:val="28"/>
        </w:rPr>
        <w:t>一、部门概述</w:t>
      </w:r>
      <w:r>
        <w:rPr>
          <w:sz w:val="28"/>
          <w:szCs w:val="28"/>
        </w:rPr>
        <w:tab/>
      </w:r>
      <w:r>
        <w:rPr>
          <w:sz w:val="28"/>
          <w:szCs w:val="28"/>
        </w:rPr>
        <w:fldChar w:fldCharType="begin"/>
      </w:r>
      <w:r>
        <w:rPr>
          <w:sz w:val="28"/>
          <w:szCs w:val="28"/>
        </w:rPr>
        <w:instrText xml:space="preserve"> PAGEREF _Toc103086329 \h </w:instrText>
      </w:r>
      <w:r>
        <w:rPr>
          <w:sz w:val="28"/>
          <w:szCs w:val="28"/>
        </w:rPr>
        <w:fldChar w:fldCharType="separate"/>
      </w:r>
      <w:r>
        <w:rPr>
          <w:sz w:val="28"/>
          <w:szCs w:val="28"/>
        </w:rPr>
        <w:t>1</w:t>
      </w:r>
      <w:r>
        <w:rPr>
          <w:sz w:val="28"/>
          <w:szCs w:val="28"/>
        </w:rPr>
        <w:fldChar w:fldCharType="end"/>
      </w:r>
      <w:r>
        <w:fldChar w:fldCharType="end"/>
      </w:r>
    </w:p>
    <w:p>
      <w:pPr>
        <w:pStyle w:val="8"/>
        <w:tabs>
          <w:tab w:val="right" w:leader="dot" w:pos="8296"/>
        </w:tabs>
        <w:rPr>
          <w:rFonts w:ascii="等线" w:hAnsi="等线" w:eastAsia="等线" w:cs="黑体"/>
          <w:sz w:val="28"/>
          <w:szCs w:val="28"/>
        </w:rPr>
      </w:pPr>
      <w:r>
        <w:fldChar w:fldCharType="begin"/>
      </w:r>
      <w:r>
        <w:instrText xml:space="preserve">HYPERLINK  \l "_Toc103086330" </w:instrText>
      </w:r>
      <w:r>
        <w:fldChar w:fldCharType="separate"/>
      </w:r>
      <w:r>
        <w:rPr>
          <w:rStyle w:val="10"/>
          <w:rFonts w:ascii="仿宋_GB2312" w:eastAsia="仿宋_GB2312"/>
          <w:sz w:val="28"/>
          <w:szCs w:val="28"/>
        </w:rPr>
        <w:t>（一）机构设置及职责工作任务情况</w:t>
      </w:r>
      <w:r>
        <w:rPr>
          <w:sz w:val="28"/>
          <w:szCs w:val="28"/>
        </w:rPr>
        <w:tab/>
      </w:r>
      <w:r>
        <w:rPr>
          <w:sz w:val="28"/>
          <w:szCs w:val="28"/>
        </w:rPr>
        <w:fldChar w:fldCharType="begin"/>
      </w:r>
      <w:r>
        <w:rPr>
          <w:sz w:val="28"/>
          <w:szCs w:val="28"/>
        </w:rPr>
        <w:instrText xml:space="preserve"> PAGEREF _Toc103086330 \h </w:instrText>
      </w:r>
      <w:r>
        <w:rPr>
          <w:sz w:val="28"/>
          <w:szCs w:val="28"/>
        </w:rPr>
        <w:fldChar w:fldCharType="separate"/>
      </w:r>
      <w:r>
        <w:rPr>
          <w:sz w:val="28"/>
          <w:szCs w:val="28"/>
        </w:rPr>
        <w:t>1</w:t>
      </w:r>
      <w:r>
        <w:rPr>
          <w:sz w:val="28"/>
          <w:szCs w:val="28"/>
        </w:rPr>
        <w:fldChar w:fldCharType="end"/>
      </w:r>
      <w:r>
        <w:fldChar w:fldCharType="end"/>
      </w:r>
    </w:p>
    <w:p>
      <w:pPr>
        <w:pStyle w:val="8"/>
        <w:tabs>
          <w:tab w:val="right" w:leader="dot" w:pos="8296"/>
        </w:tabs>
        <w:rPr>
          <w:rFonts w:ascii="等线" w:hAnsi="等线" w:eastAsia="等线" w:cs="黑体"/>
          <w:sz w:val="28"/>
          <w:szCs w:val="28"/>
        </w:rPr>
      </w:pPr>
      <w:r>
        <w:fldChar w:fldCharType="begin"/>
      </w:r>
      <w:r>
        <w:instrText xml:space="preserve">HYPERLINK  \l "_Toc103086331" </w:instrText>
      </w:r>
      <w:r>
        <w:fldChar w:fldCharType="separate"/>
      </w:r>
      <w:r>
        <w:rPr>
          <w:rStyle w:val="10"/>
          <w:rFonts w:ascii="仿宋_GB2312" w:eastAsia="仿宋_GB2312"/>
          <w:sz w:val="28"/>
          <w:szCs w:val="28"/>
        </w:rPr>
        <w:t>（二）部门整体绩效目标设立情况</w:t>
      </w:r>
      <w:r>
        <w:rPr>
          <w:sz w:val="28"/>
          <w:szCs w:val="28"/>
        </w:rPr>
        <w:tab/>
      </w:r>
      <w:r>
        <w:rPr>
          <w:sz w:val="28"/>
          <w:szCs w:val="28"/>
        </w:rPr>
        <w:fldChar w:fldCharType="begin"/>
      </w:r>
      <w:r>
        <w:rPr>
          <w:sz w:val="28"/>
          <w:szCs w:val="28"/>
        </w:rPr>
        <w:instrText xml:space="preserve"> PAGEREF _Toc103086331 \h </w:instrText>
      </w:r>
      <w:r>
        <w:rPr>
          <w:sz w:val="28"/>
          <w:szCs w:val="28"/>
        </w:rPr>
        <w:fldChar w:fldCharType="separate"/>
      </w:r>
      <w:r>
        <w:rPr>
          <w:sz w:val="28"/>
          <w:szCs w:val="28"/>
        </w:rPr>
        <w:t>3</w:t>
      </w:r>
      <w:r>
        <w:rPr>
          <w:sz w:val="28"/>
          <w:szCs w:val="28"/>
        </w:rPr>
        <w:fldChar w:fldCharType="end"/>
      </w:r>
      <w:r>
        <w:fldChar w:fldCharType="end"/>
      </w:r>
    </w:p>
    <w:p>
      <w:pPr>
        <w:pStyle w:val="7"/>
        <w:rPr>
          <w:rFonts w:ascii="等线" w:hAnsi="等线" w:eastAsia="等线" w:cs="黑体"/>
          <w:sz w:val="28"/>
          <w:szCs w:val="28"/>
        </w:rPr>
      </w:pPr>
      <w:r>
        <w:fldChar w:fldCharType="begin"/>
      </w:r>
      <w:r>
        <w:instrText xml:space="preserve">HYPERLINK  \l "_Toc103086332" </w:instrText>
      </w:r>
      <w:r>
        <w:fldChar w:fldCharType="separate"/>
      </w:r>
      <w:r>
        <w:rPr>
          <w:rStyle w:val="10"/>
          <w:rFonts w:ascii="仿宋_GB2312" w:hAnsi="黑体" w:eastAsia="仿宋_GB2312" w:cs="宋体"/>
          <w:kern w:val="0"/>
          <w:sz w:val="28"/>
          <w:szCs w:val="28"/>
        </w:rPr>
        <w:t>二、当年预算执行情况</w:t>
      </w:r>
      <w:r>
        <w:rPr>
          <w:sz w:val="28"/>
          <w:szCs w:val="28"/>
        </w:rPr>
        <w:tab/>
      </w:r>
      <w:r>
        <w:rPr>
          <w:sz w:val="28"/>
          <w:szCs w:val="28"/>
        </w:rPr>
        <w:fldChar w:fldCharType="begin"/>
      </w:r>
      <w:r>
        <w:rPr>
          <w:sz w:val="28"/>
          <w:szCs w:val="28"/>
        </w:rPr>
        <w:instrText xml:space="preserve"> PAGEREF _Toc103086332 \h </w:instrText>
      </w:r>
      <w:r>
        <w:rPr>
          <w:sz w:val="28"/>
          <w:szCs w:val="28"/>
        </w:rPr>
        <w:fldChar w:fldCharType="separate"/>
      </w:r>
      <w:r>
        <w:rPr>
          <w:sz w:val="28"/>
          <w:szCs w:val="28"/>
        </w:rPr>
        <w:t>6</w:t>
      </w:r>
      <w:r>
        <w:rPr>
          <w:sz w:val="28"/>
          <w:szCs w:val="28"/>
        </w:rPr>
        <w:fldChar w:fldCharType="end"/>
      </w:r>
      <w:r>
        <w:fldChar w:fldCharType="end"/>
      </w:r>
    </w:p>
    <w:p>
      <w:pPr>
        <w:pStyle w:val="8"/>
        <w:tabs>
          <w:tab w:val="right" w:leader="dot" w:pos="8296"/>
        </w:tabs>
        <w:rPr>
          <w:rFonts w:ascii="等线" w:hAnsi="等线" w:eastAsia="等线" w:cs="黑体"/>
          <w:sz w:val="28"/>
          <w:szCs w:val="28"/>
        </w:rPr>
      </w:pPr>
      <w:r>
        <w:fldChar w:fldCharType="begin"/>
      </w:r>
      <w:r>
        <w:instrText xml:space="preserve">HYPERLINK  \l "_Toc103086333" </w:instrText>
      </w:r>
      <w:r>
        <w:fldChar w:fldCharType="separate"/>
      </w:r>
      <w:r>
        <w:rPr>
          <w:rStyle w:val="10"/>
          <w:rFonts w:ascii="仿宋_GB2312" w:eastAsia="仿宋_GB2312"/>
          <w:sz w:val="28"/>
          <w:szCs w:val="28"/>
        </w:rPr>
        <w:t>（一）收入情况</w:t>
      </w:r>
      <w:r>
        <w:rPr>
          <w:sz w:val="28"/>
          <w:szCs w:val="28"/>
        </w:rPr>
        <w:tab/>
      </w:r>
      <w:r>
        <w:rPr>
          <w:sz w:val="28"/>
          <w:szCs w:val="28"/>
        </w:rPr>
        <w:fldChar w:fldCharType="begin"/>
      </w:r>
      <w:r>
        <w:rPr>
          <w:sz w:val="28"/>
          <w:szCs w:val="28"/>
        </w:rPr>
        <w:instrText xml:space="preserve"> PAGEREF _Toc103086333 \h </w:instrText>
      </w:r>
      <w:r>
        <w:rPr>
          <w:sz w:val="28"/>
          <w:szCs w:val="28"/>
        </w:rPr>
        <w:fldChar w:fldCharType="separate"/>
      </w:r>
      <w:r>
        <w:rPr>
          <w:sz w:val="28"/>
          <w:szCs w:val="28"/>
        </w:rPr>
        <w:t>6</w:t>
      </w:r>
      <w:r>
        <w:rPr>
          <w:sz w:val="28"/>
          <w:szCs w:val="28"/>
        </w:rPr>
        <w:fldChar w:fldCharType="end"/>
      </w:r>
      <w:r>
        <w:fldChar w:fldCharType="end"/>
      </w:r>
    </w:p>
    <w:p>
      <w:pPr>
        <w:pStyle w:val="8"/>
        <w:tabs>
          <w:tab w:val="right" w:leader="dot" w:pos="8296"/>
        </w:tabs>
        <w:rPr>
          <w:rFonts w:ascii="等线" w:hAnsi="等线" w:eastAsia="等线" w:cs="黑体"/>
          <w:sz w:val="28"/>
          <w:szCs w:val="28"/>
        </w:rPr>
      </w:pPr>
      <w:r>
        <w:fldChar w:fldCharType="begin"/>
      </w:r>
      <w:r>
        <w:instrText xml:space="preserve">HYPERLINK  \l "_Toc103086334" </w:instrText>
      </w:r>
      <w:r>
        <w:fldChar w:fldCharType="separate"/>
      </w:r>
      <w:r>
        <w:rPr>
          <w:rStyle w:val="10"/>
          <w:rFonts w:ascii="仿宋_GB2312" w:eastAsia="仿宋_GB2312"/>
          <w:sz w:val="28"/>
          <w:szCs w:val="28"/>
        </w:rPr>
        <w:t>（二）支出情况</w:t>
      </w:r>
      <w:r>
        <w:rPr>
          <w:sz w:val="28"/>
          <w:szCs w:val="28"/>
        </w:rPr>
        <w:tab/>
      </w:r>
      <w:r>
        <w:rPr>
          <w:sz w:val="28"/>
          <w:szCs w:val="28"/>
        </w:rPr>
        <w:fldChar w:fldCharType="begin"/>
      </w:r>
      <w:r>
        <w:rPr>
          <w:sz w:val="28"/>
          <w:szCs w:val="28"/>
        </w:rPr>
        <w:instrText xml:space="preserve"> PAGEREF _Toc103086334 \h </w:instrText>
      </w:r>
      <w:r>
        <w:rPr>
          <w:sz w:val="28"/>
          <w:szCs w:val="28"/>
        </w:rPr>
        <w:fldChar w:fldCharType="separate"/>
      </w:r>
      <w:r>
        <w:rPr>
          <w:sz w:val="28"/>
          <w:szCs w:val="28"/>
        </w:rPr>
        <w:t>6</w:t>
      </w:r>
      <w:r>
        <w:rPr>
          <w:sz w:val="28"/>
          <w:szCs w:val="28"/>
        </w:rPr>
        <w:fldChar w:fldCharType="end"/>
      </w:r>
      <w:r>
        <w:fldChar w:fldCharType="end"/>
      </w:r>
    </w:p>
    <w:p>
      <w:pPr>
        <w:pStyle w:val="7"/>
        <w:rPr>
          <w:rFonts w:ascii="等线" w:hAnsi="等线" w:eastAsia="等线" w:cs="黑体"/>
          <w:sz w:val="28"/>
          <w:szCs w:val="28"/>
        </w:rPr>
      </w:pPr>
      <w:r>
        <w:fldChar w:fldCharType="begin"/>
      </w:r>
      <w:r>
        <w:instrText xml:space="preserve">HYPERLINK  \l "_Toc103086335" </w:instrText>
      </w:r>
      <w:r>
        <w:fldChar w:fldCharType="separate"/>
      </w:r>
      <w:r>
        <w:rPr>
          <w:rStyle w:val="10"/>
          <w:rFonts w:ascii="仿宋_GB2312" w:hAnsi="黑体" w:eastAsia="仿宋_GB2312" w:cs="宋体"/>
          <w:kern w:val="0"/>
          <w:sz w:val="28"/>
          <w:szCs w:val="28"/>
        </w:rPr>
        <w:t>三、整体绩效目标实现情况</w:t>
      </w:r>
      <w:r>
        <w:rPr>
          <w:sz w:val="28"/>
          <w:szCs w:val="28"/>
        </w:rPr>
        <w:tab/>
      </w:r>
      <w:r>
        <w:rPr>
          <w:sz w:val="28"/>
          <w:szCs w:val="28"/>
        </w:rPr>
        <w:fldChar w:fldCharType="begin"/>
      </w:r>
      <w:r>
        <w:rPr>
          <w:sz w:val="28"/>
          <w:szCs w:val="28"/>
        </w:rPr>
        <w:instrText xml:space="preserve"> PAGEREF _Toc103086335 \h </w:instrText>
      </w:r>
      <w:r>
        <w:rPr>
          <w:sz w:val="28"/>
          <w:szCs w:val="28"/>
        </w:rPr>
        <w:fldChar w:fldCharType="separate"/>
      </w:r>
      <w:r>
        <w:rPr>
          <w:sz w:val="28"/>
          <w:szCs w:val="28"/>
        </w:rPr>
        <w:t>7</w:t>
      </w:r>
      <w:r>
        <w:rPr>
          <w:sz w:val="28"/>
          <w:szCs w:val="28"/>
        </w:rPr>
        <w:fldChar w:fldCharType="end"/>
      </w:r>
      <w:r>
        <w:fldChar w:fldCharType="end"/>
      </w:r>
    </w:p>
    <w:p>
      <w:pPr>
        <w:pStyle w:val="8"/>
        <w:tabs>
          <w:tab w:val="right" w:leader="dot" w:pos="8296"/>
        </w:tabs>
        <w:rPr>
          <w:rFonts w:ascii="等线" w:hAnsi="等线" w:eastAsia="等线" w:cs="黑体"/>
          <w:sz w:val="28"/>
          <w:szCs w:val="28"/>
        </w:rPr>
      </w:pPr>
      <w:r>
        <w:fldChar w:fldCharType="begin"/>
      </w:r>
      <w:r>
        <w:instrText xml:space="preserve">HYPERLINK  \l "_Toc103086336" </w:instrText>
      </w:r>
      <w:r>
        <w:fldChar w:fldCharType="separate"/>
      </w:r>
      <w:r>
        <w:rPr>
          <w:rStyle w:val="10"/>
          <w:rFonts w:ascii="仿宋_GB2312" w:eastAsia="仿宋_GB2312"/>
          <w:sz w:val="28"/>
          <w:szCs w:val="28"/>
        </w:rPr>
        <w:t>（一）产出完成情况分析</w:t>
      </w:r>
      <w:r>
        <w:rPr>
          <w:sz w:val="28"/>
          <w:szCs w:val="28"/>
        </w:rPr>
        <w:tab/>
      </w:r>
      <w:r>
        <w:rPr>
          <w:sz w:val="28"/>
          <w:szCs w:val="28"/>
        </w:rPr>
        <w:fldChar w:fldCharType="begin"/>
      </w:r>
      <w:r>
        <w:rPr>
          <w:sz w:val="28"/>
          <w:szCs w:val="28"/>
        </w:rPr>
        <w:instrText xml:space="preserve"> PAGEREF _Toc103086336 \h </w:instrText>
      </w:r>
      <w:r>
        <w:rPr>
          <w:sz w:val="28"/>
          <w:szCs w:val="28"/>
        </w:rPr>
        <w:fldChar w:fldCharType="separate"/>
      </w:r>
      <w:r>
        <w:rPr>
          <w:sz w:val="28"/>
          <w:szCs w:val="28"/>
        </w:rPr>
        <w:t>9</w:t>
      </w:r>
      <w:r>
        <w:rPr>
          <w:sz w:val="28"/>
          <w:szCs w:val="28"/>
        </w:rPr>
        <w:fldChar w:fldCharType="end"/>
      </w:r>
      <w:r>
        <w:fldChar w:fldCharType="end"/>
      </w:r>
    </w:p>
    <w:p>
      <w:pPr>
        <w:pStyle w:val="8"/>
        <w:tabs>
          <w:tab w:val="right" w:leader="dot" w:pos="8296"/>
        </w:tabs>
        <w:rPr>
          <w:rFonts w:ascii="等线" w:hAnsi="等线" w:eastAsia="等线" w:cs="黑体"/>
          <w:sz w:val="28"/>
          <w:szCs w:val="28"/>
        </w:rPr>
      </w:pPr>
      <w:r>
        <w:fldChar w:fldCharType="begin"/>
      </w:r>
      <w:r>
        <w:instrText xml:space="preserve">HYPERLINK  \l "_Toc103086337" </w:instrText>
      </w:r>
      <w:r>
        <w:fldChar w:fldCharType="separate"/>
      </w:r>
      <w:r>
        <w:rPr>
          <w:rStyle w:val="10"/>
          <w:rFonts w:ascii="仿宋_GB2312" w:eastAsia="仿宋_GB2312"/>
          <w:sz w:val="28"/>
          <w:szCs w:val="28"/>
        </w:rPr>
        <w:t>（二）效果实现情况分析</w:t>
      </w:r>
      <w:r>
        <w:rPr>
          <w:sz w:val="28"/>
          <w:szCs w:val="28"/>
        </w:rPr>
        <w:tab/>
      </w:r>
      <w:r>
        <w:rPr>
          <w:sz w:val="28"/>
          <w:szCs w:val="28"/>
        </w:rPr>
        <w:fldChar w:fldCharType="begin"/>
      </w:r>
      <w:r>
        <w:rPr>
          <w:sz w:val="28"/>
          <w:szCs w:val="28"/>
        </w:rPr>
        <w:instrText xml:space="preserve"> PAGEREF _Toc103086337 \h </w:instrText>
      </w:r>
      <w:r>
        <w:rPr>
          <w:sz w:val="28"/>
          <w:szCs w:val="28"/>
        </w:rPr>
        <w:fldChar w:fldCharType="separate"/>
      </w:r>
      <w:r>
        <w:rPr>
          <w:sz w:val="28"/>
          <w:szCs w:val="28"/>
        </w:rPr>
        <w:t>18</w:t>
      </w:r>
      <w:r>
        <w:rPr>
          <w:sz w:val="28"/>
          <w:szCs w:val="28"/>
        </w:rPr>
        <w:fldChar w:fldCharType="end"/>
      </w:r>
      <w:r>
        <w:fldChar w:fldCharType="end"/>
      </w:r>
    </w:p>
    <w:p>
      <w:pPr>
        <w:pStyle w:val="7"/>
        <w:rPr>
          <w:rFonts w:ascii="等线" w:hAnsi="等线" w:eastAsia="等线" w:cs="黑体"/>
          <w:sz w:val="28"/>
          <w:szCs w:val="28"/>
        </w:rPr>
      </w:pPr>
      <w:r>
        <w:fldChar w:fldCharType="begin"/>
      </w:r>
      <w:r>
        <w:instrText xml:space="preserve">HYPERLINK  \l "_Toc103086338" </w:instrText>
      </w:r>
      <w:r>
        <w:fldChar w:fldCharType="separate"/>
      </w:r>
      <w:r>
        <w:rPr>
          <w:rStyle w:val="10"/>
          <w:rFonts w:ascii="仿宋_GB2312" w:hAnsi="黑体" w:eastAsia="仿宋_GB2312" w:cs="宋体"/>
          <w:kern w:val="0"/>
          <w:sz w:val="28"/>
          <w:szCs w:val="28"/>
        </w:rPr>
        <w:t>四、预算管理情况分析</w:t>
      </w:r>
      <w:r>
        <w:rPr>
          <w:sz w:val="28"/>
          <w:szCs w:val="28"/>
        </w:rPr>
        <w:tab/>
      </w:r>
      <w:r>
        <w:rPr>
          <w:sz w:val="28"/>
          <w:szCs w:val="28"/>
        </w:rPr>
        <w:fldChar w:fldCharType="begin"/>
      </w:r>
      <w:r>
        <w:rPr>
          <w:sz w:val="28"/>
          <w:szCs w:val="28"/>
        </w:rPr>
        <w:instrText xml:space="preserve"> PAGEREF _Toc103086338 \h </w:instrText>
      </w:r>
      <w:r>
        <w:rPr>
          <w:sz w:val="28"/>
          <w:szCs w:val="28"/>
        </w:rPr>
        <w:fldChar w:fldCharType="separate"/>
      </w:r>
      <w:r>
        <w:rPr>
          <w:sz w:val="28"/>
          <w:szCs w:val="28"/>
        </w:rPr>
        <w:t>22</w:t>
      </w:r>
      <w:r>
        <w:rPr>
          <w:sz w:val="28"/>
          <w:szCs w:val="28"/>
        </w:rPr>
        <w:fldChar w:fldCharType="end"/>
      </w:r>
      <w:r>
        <w:fldChar w:fldCharType="end"/>
      </w:r>
    </w:p>
    <w:p>
      <w:pPr>
        <w:pStyle w:val="8"/>
        <w:tabs>
          <w:tab w:val="right" w:leader="dot" w:pos="8296"/>
        </w:tabs>
        <w:rPr>
          <w:rFonts w:ascii="等线" w:hAnsi="等线" w:eastAsia="等线" w:cs="黑体"/>
          <w:sz w:val="28"/>
          <w:szCs w:val="28"/>
        </w:rPr>
      </w:pPr>
      <w:r>
        <w:fldChar w:fldCharType="begin"/>
      </w:r>
      <w:r>
        <w:instrText xml:space="preserve">HYPERLINK  \l "_Toc103086339" </w:instrText>
      </w:r>
      <w:r>
        <w:fldChar w:fldCharType="separate"/>
      </w:r>
      <w:r>
        <w:rPr>
          <w:rStyle w:val="10"/>
          <w:rFonts w:ascii="仿宋_GB2312" w:eastAsia="仿宋_GB2312"/>
          <w:sz w:val="28"/>
          <w:szCs w:val="28"/>
        </w:rPr>
        <w:t>（一）财务管理</w:t>
      </w:r>
      <w:r>
        <w:rPr>
          <w:sz w:val="28"/>
          <w:szCs w:val="28"/>
        </w:rPr>
        <w:tab/>
      </w:r>
      <w:r>
        <w:rPr>
          <w:sz w:val="28"/>
          <w:szCs w:val="28"/>
        </w:rPr>
        <w:fldChar w:fldCharType="begin"/>
      </w:r>
      <w:r>
        <w:rPr>
          <w:sz w:val="28"/>
          <w:szCs w:val="28"/>
        </w:rPr>
        <w:instrText xml:space="preserve"> PAGEREF _Toc103086339 \h </w:instrText>
      </w:r>
      <w:r>
        <w:rPr>
          <w:sz w:val="28"/>
          <w:szCs w:val="28"/>
        </w:rPr>
        <w:fldChar w:fldCharType="separate"/>
      </w:r>
      <w:r>
        <w:rPr>
          <w:sz w:val="28"/>
          <w:szCs w:val="28"/>
        </w:rPr>
        <w:t>22</w:t>
      </w:r>
      <w:r>
        <w:rPr>
          <w:sz w:val="28"/>
          <w:szCs w:val="28"/>
        </w:rPr>
        <w:fldChar w:fldCharType="end"/>
      </w:r>
      <w:r>
        <w:fldChar w:fldCharType="end"/>
      </w:r>
    </w:p>
    <w:p>
      <w:pPr>
        <w:pStyle w:val="8"/>
        <w:tabs>
          <w:tab w:val="right" w:leader="dot" w:pos="8296"/>
        </w:tabs>
        <w:rPr>
          <w:rFonts w:ascii="等线" w:hAnsi="等线" w:eastAsia="等线" w:cs="黑体"/>
          <w:sz w:val="28"/>
          <w:szCs w:val="28"/>
        </w:rPr>
      </w:pPr>
      <w:r>
        <w:fldChar w:fldCharType="begin"/>
      </w:r>
      <w:r>
        <w:instrText xml:space="preserve">HYPERLINK  \l "_Toc103086340" </w:instrText>
      </w:r>
      <w:r>
        <w:fldChar w:fldCharType="separate"/>
      </w:r>
      <w:r>
        <w:rPr>
          <w:rStyle w:val="10"/>
          <w:rFonts w:ascii="仿宋_GB2312" w:eastAsia="仿宋_GB2312"/>
          <w:sz w:val="28"/>
          <w:szCs w:val="28"/>
        </w:rPr>
        <w:t>（二）资产管理</w:t>
      </w:r>
      <w:r>
        <w:rPr>
          <w:sz w:val="28"/>
          <w:szCs w:val="28"/>
        </w:rPr>
        <w:tab/>
      </w:r>
      <w:r>
        <w:rPr>
          <w:sz w:val="28"/>
          <w:szCs w:val="28"/>
        </w:rPr>
        <w:fldChar w:fldCharType="begin"/>
      </w:r>
      <w:r>
        <w:rPr>
          <w:sz w:val="28"/>
          <w:szCs w:val="28"/>
        </w:rPr>
        <w:instrText xml:space="preserve"> PAGEREF _Toc103086340 \h </w:instrText>
      </w:r>
      <w:r>
        <w:rPr>
          <w:sz w:val="28"/>
          <w:szCs w:val="28"/>
        </w:rPr>
        <w:fldChar w:fldCharType="separate"/>
      </w:r>
      <w:r>
        <w:rPr>
          <w:sz w:val="28"/>
          <w:szCs w:val="28"/>
        </w:rPr>
        <w:t>22</w:t>
      </w:r>
      <w:r>
        <w:rPr>
          <w:sz w:val="28"/>
          <w:szCs w:val="28"/>
        </w:rPr>
        <w:fldChar w:fldCharType="end"/>
      </w:r>
      <w:r>
        <w:fldChar w:fldCharType="end"/>
      </w:r>
    </w:p>
    <w:p>
      <w:pPr>
        <w:pStyle w:val="8"/>
        <w:tabs>
          <w:tab w:val="right" w:leader="dot" w:pos="8296"/>
        </w:tabs>
        <w:rPr>
          <w:rFonts w:ascii="等线" w:hAnsi="等线" w:eastAsia="等线" w:cs="黑体"/>
          <w:sz w:val="28"/>
          <w:szCs w:val="28"/>
        </w:rPr>
      </w:pPr>
      <w:r>
        <w:fldChar w:fldCharType="begin"/>
      </w:r>
      <w:r>
        <w:instrText xml:space="preserve">HYPERLINK  \l "_Toc103086341" </w:instrText>
      </w:r>
      <w:r>
        <w:fldChar w:fldCharType="separate"/>
      </w:r>
      <w:r>
        <w:rPr>
          <w:rStyle w:val="10"/>
          <w:rFonts w:ascii="仿宋_GB2312" w:eastAsia="仿宋_GB2312"/>
          <w:sz w:val="28"/>
          <w:szCs w:val="28"/>
        </w:rPr>
        <w:t>（三）绩效管理</w:t>
      </w:r>
      <w:r>
        <w:rPr>
          <w:sz w:val="28"/>
          <w:szCs w:val="28"/>
        </w:rPr>
        <w:tab/>
      </w:r>
      <w:r>
        <w:rPr>
          <w:sz w:val="28"/>
          <w:szCs w:val="28"/>
        </w:rPr>
        <w:fldChar w:fldCharType="begin"/>
      </w:r>
      <w:r>
        <w:rPr>
          <w:sz w:val="28"/>
          <w:szCs w:val="28"/>
        </w:rPr>
        <w:instrText xml:space="preserve"> PAGEREF _Toc103086341 \h </w:instrText>
      </w:r>
      <w:r>
        <w:rPr>
          <w:sz w:val="28"/>
          <w:szCs w:val="28"/>
        </w:rPr>
        <w:fldChar w:fldCharType="separate"/>
      </w:r>
      <w:r>
        <w:rPr>
          <w:sz w:val="28"/>
          <w:szCs w:val="28"/>
        </w:rPr>
        <w:t>23</w:t>
      </w:r>
      <w:r>
        <w:rPr>
          <w:sz w:val="28"/>
          <w:szCs w:val="28"/>
        </w:rPr>
        <w:fldChar w:fldCharType="end"/>
      </w:r>
      <w:r>
        <w:fldChar w:fldCharType="end"/>
      </w:r>
    </w:p>
    <w:p>
      <w:pPr>
        <w:pStyle w:val="8"/>
        <w:tabs>
          <w:tab w:val="right" w:leader="dot" w:pos="8296"/>
        </w:tabs>
        <w:rPr>
          <w:rFonts w:ascii="等线" w:hAnsi="等线" w:eastAsia="等线" w:cs="黑体"/>
          <w:sz w:val="28"/>
          <w:szCs w:val="28"/>
        </w:rPr>
      </w:pPr>
      <w:r>
        <w:fldChar w:fldCharType="begin"/>
      </w:r>
      <w:r>
        <w:instrText xml:space="preserve">HYPERLINK  \l "_Toc103086342" </w:instrText>
      </w:r>
      <w:r>
        <w:fldChar w:fldCharType="separate"/>
      </w:r>
      <w:r>
        <w:rPr>
          <w:rStyle w:val="10"/>
          <w:rFonts w:ascii="仿宋_GB2312" w:eastAsia="仿宋_GB2312"/>
          <w:sz w:val="28"/>
          <w:szCs w:val="28"/>
        </w:rPr>
        <w:t>（四）结转结余率</w:t>
      </w:r>
      <w:r>
        <w:rPr>
          <w:sz w:val="28"/>
          <w:szCs w:val="28"/>
        </w:rPr>
        <w:tab/>
      </w:r>
      <w:r>
        <w:rPr>
          <w:sz w:val="28"/>
          <w:szCs w:val="28"/>
        </w:rPr>
        <w:fldChar w:fldCharType="begin"/>
      </w:r>
      <w:r>
        <w:rPr>
          <w:sz w:val="28"/>
          <w:szCs w:val="28"/>
        </w:rPr>
        <w:instrText xml:space="preserve"> PAGEREF _Toc103086342 \h </w:instrText>
      </w:r>
      <w:r>
        <w:rPr>
          <w:sz w:val="28"/>
          <w:szCs w:val="28"/>
        </w:rPr>
        <w:fldChar w:fldCharType="separate"/>
      </w:r>
      <w:r>
        <w:rPr>
          <w:sz w:val="28"/>
          <w:szCs w:val="28"/>
        </w:rPr>
        <w:t>24</w:t>
      </w:r>
      <w:r>
        <w:rPr>
          <w:sz w:val="28"/>
          <w:szCs w:val="28"/>
        </w:rPr>
        <w:fldChar w:fldCharType="end"/>
      </w:r>
      <w:r>
        <w:fldChar w:fldCharType="end"/>
      </w:r>
    </w:p>
    <w:p>
      <w:pPr>
        <w:pStyle w:val="8"/>
        <w:tabs>
          <w:tab w:val="right" w:leader="dot" w:pos="8296"/>
        </w:tabs>
        <w:rPr>
          <w:rFonts w:ascii="等线" w:hAnsi="等线" w:eastAsia="等线" w:cs="黑体"/>
          <w:sz w:val="28"/>
          <w:szCs w:val="28"/>
        </w:rPr>
      </w:pPr>
      <w:r>
        <w:fldChar w:fldCharType="begin"/>
      </w:r>
      <w:r>
        <w:instrText xml:space="preserve">HYPERLINK  \l "_Toc103086343" </w:instrText>
      </w:r>
      <w:r>
        <w:fldChar w:fldCharType="separate"/>
      </w:r>
      <w:r>
        <w:rPr>
          <w:rStyle w:val="10"/>
          <w:rFonts w:ascii="仿宋_GB2312" w:eastAsia="仿宋_GB2312"/>
          <w:sz w:val="28"/>
          <w:szCs w:val="28"/>
        </w:rPr>
        <w:t>（五）部门预决算差异率</w:t>
      </w:r>
      <w:r>
        <w:rPr>
          <w:sz w:val="28"/>
          <w:szCs w:val="28"/>
        </w:rPr>
        <w:tab/>
      </w:r>
      <w:r>
        <w:rPr>
          <w:sz w:val="28"/>
          <w:szCs w:val="28"/>
        </w:rPr>
        <w:fldChar w:fldCharType="begin"/>
      </w:r>
      <w:r>
        <w:rPr>
          <w:sz w:val="28"/>
          <w:szCs w:val="28"/>
        </w:rPr>
        <w:instrText xml:space="preserve"> PAGEREF _Toc103086343 \h </w:instrText>
      </w:r>
      <w:r>
        <w:rPr>
          <w:sz w:val="28"/>
          <w:szCs w:val="28"/>
        </w:rPr>
        <w:fldChar w:fldCharType="separate"/>
      </w:r>
      <w:r>
        <w:rPr>
          <w:sz w:val="28"/>
          <w:szCs w:val="28"/>
        </w:rPr>
        <w:t>24</w:t>
      </w:r>
      <w:r>
        <w:rPr>
          <w:sz w:val="28"/>
          <w:szCs w:val="28"/>
        </w:rPr>
        <w:fldChar w:fldCharType="end"/>
      </w:r>
      <w:r>
        <w:fldChar w:fldCharType="end"/>
      </w:r>
    </w:p>
    <w:p>
      <w:pPr>
        <w:pStyle w:val="7"/>
        <w:rPr>
          <w:rFonts w:ascii="等线" w:hAnsi="等线" w:eastAsia="等线" w:cs="黑体"/>
          <w:sz w:val="28"/>
          <w:szCs w:val="28"/>
        </w:rPr>
      </w:pPr>
      <w:r>
        <w:fldChar w:fldCharType="begin"/>
      </w:r>
      <w:r>
        <w:instrText xml:space="preserve">HYPERLINK  \l "_Toc103086344" </w:instrText>
      </w:r>
      <w:r>
        <w:fldChar w:fldCharType="separate"/>
      </w:r>
      <w:r>
        <w:rPr>
          <w:rStyle w:val="10"/>
          <w:rFonts w:ascii="仿宋_GB2312" w:hAnsi="黑体" w:eastAsia="仿宋_GB2312"/>
          <w:sz w:val="28"/>
          <w:szCs w:val="28"/>
        </w:rPr>
        <w:t>五、总体评价结论</w:t>
      </w:r>
      <w:r>
        <w:rPr>
          <w:sz w:val="28"/>
          <w:szCs w:val="28"/>
        </w:rPr>
        <w:tab/>
      </w:r>
      <w:r>
        <w:rPr>
          <w:sz w:val="28"/>
          <w:szCs w:val="28"/>
        </w:rPr>
        <w:fldChar w:fldCharType="begin"/>
      </w:r>
      <w:r>
        <w:rPr>
          <w:sz w:val="28"/>
          <w:szCs w:val="28"/>
        </w:rPr>
        <w:instrText xml:space="preserve"> PAGEREF _Toc103086344 \h </w:instrText>
      </w:r>
      <w:r>
        <w:rPr>
          <w:sz w:val="28"/>
          <w:szCs w:val="28"/>
        </w:rPr>
        <w:fldChar w:fldCharType="separate"/>
      </w:r>
      <w:r>
        <w:rPr>
          <w:sz w:val="28"/>
          <w:szCs w:val="28"/>
        </w:rPr>
        <w:t>25</w:t>
      </w:r>
      <w:r>
        <w:rPr>
          <w:sz w:val="28"/>
          <w:szCs w:val="28"/>
        </w:rPr>
        <w:fldChar w:fldCharType="end"/>
      </w:r>
      <w:r>
        <w:fldChar w:fldCharType="end"/>
      </w:r>
    </w:p>
    <w:p>
      <w:pPr>
        <w:pStyle w:val="8"/>
        <w:tabs>
          <w:tab w:val="right" w:leader="dot" w:pos="8296"/>
        </w:tabs>
        <w:rPr>
          <w:rFonts w:ascii="等线" w:hAnsi="等线" w:eastAsia="等线" w:cs="黑体"/>
          <w:sz w:val="28"/>
          <w:szCs w:val="28"/>
        </w:rPr>
      </w:pPr>
      <w:r>
        <w:fldChar w:fldCharType="begin"/>
      </w:r>
      <w:r>
        <w:instrText xml:space="preserve">HYPERLINK  \l "_Toc103086345" </w:instrText>
      </w:r>
      <w:r>
        <w:fldChar w:fldCharType="separate"/>
      </w:r>
      <w:r>
        <w:rPr>
          <w:rStyle w:val="10"/>
          <w:rFonts w:ascii="仿宋_GB2312" w:eastAsia="仿宋_GB2312"/>
          <w:sz w:val="28"/>
          <w:szCs w:val="28"/>
        </w:rPr>
        <w:t>（一）评价得分情况</w:t>
      </w:r>
      <w:r>
        <w:rPr>
          <w:sz w:val="28"/>
          <w:szCs w:val="28"/>
        </w:rPr>
        <w:tab/>
      </w:r>
      <w:r>
        <w:rPr>
          <w:sz w:val="28"/>
          <w:szCs w:val="28"/>
        </w:rPr>
        <w:fldChar w:fldCharType="begin"/>
      </w:r>
      <w:r>
        <w:rPr>
          <w:sz w:val="28"/>
          <w:szCs w:val="28"/>
        </w:rPr>
        <w:instrText xml:space="preserve"> PAGEREF _Toc103086345 \h </w:instrText>
      </w:r>
      <w:r>
        <w:rPr>
          <w:sz w:val="28"/>
          <w:szCs w:val="28"/>
        </w:rPr>
        <w:fldChar w:fldCharType="separate"/>
      </w:r>
      <w:r>
        <w:rPr>
          <w:sz w:val="28"/>
          <w:szCs w:val="28"/>
        </w:rPr>
        <w:t>25</w:t>
      </w:r>
      <w:r>
        <w:rPr>
          <w:sz w:val="28"/>
          <w:szCs w:val="28"/>
        </w:rPr>
        <w:fldChar w:fldCharType="end"/>
      </w:r>
      <w:r>
        <w:fldChar w:fldCharType="end"/>
      </w:r>
    </w:p>
    <w:p>
      <w:pPr>
        <w:pStyle w:val="8"/>
        <w:tabs>
          <w:tab w:val="right" w:leader="dot" w:pos="8296"/>
        </w:tabs>
        <w:rPr>
          <w:rFonts w:ascii="等线" w:hAnsi="等线" w:eastAsia="等线" w:cs="黑体"/>
          <w:sz w:val="28"/>
          <w:szCs w:val="28"/>
        </w:rPr>
      </w:pPr>
      <w:r>
        <w:fldChar w:fldCharType="begin"/>
      </w:r>
      <w:r>
        <w:instrText xml:space="preserve">HYPERLINK  \l "_Toc103086346" </w:instrText>
      </w:r>
      <w:r>
        <w:fldChar w:fldCharType="separate"/>
      </w:r>
      <w:r>
        <w:rPr>
          <w:rStyle w:val="10"/>
          <w:rFonts w:ascii="仿宋_GB2312" w:hAnsi="仿宋" w:eastAsia="仿宋_GB2312"/>
          <w:sz w:val="28"/>
          <w:szCs w:val="28"/>
        </w:rPr>
        <w:t>（</w:t>
      </w:r>
      <w:r>
        <w:rPr>
          <w:rStyle w:val="10"/>
          <w:rFonts w:ascii="仿宋_GB2312" w:eastAsia="仿宋_GB2312"/>
          <w:sz w:val="28"/>
          <w:szCs w:val="28"/>
        </w:rPr>
        <w:t>二）存在的问题及原因分析</w:t>
      </w:r>
      <w:r>
        <w:rPr>
          <w:sz w:val="28"/>
          <w:szCs w:val="28"/>
        </w:rPr>
        <w:tab/>
      </w:r>
      <w:r>
        <w:rPr>
          <w:sz w:val="28"/>
          <w:szCs w:val="28"/>
        </w:rPr>
        <w:fldChar w:fldCharType="begin"/>
      </w:r>
      <w:r>
        <w:rPr>
          <w:sz w:val="28"/>
          <w:szCs w:val="28"/>
        </w:rPr>
        <w:instrText xml:space="preserve"> PAGEREF _Toc103086346 \h </w:instrText>
      </w:r>
      <w:r>
        <w:rPr>
          <w:sz w:val="28"/>
          <w:szCs w:val="28"/>
        </w:rPr>
        <w:fldChar w:fldCharType="separate"/>
      </w:r>
      <w:r>
        <w:rPr>
          <w:sz w:val="28"/>
          <w:szCs w:val="28"/>
        </w:rPr>
        <w:t>26</w:t>
      </w:r>
      <w:r>
        <w:rPr>
          <w:sz w:val="28"/>
          <w:szCs w:val="28"/>
        </w:rPr>
        <w:fldChar w:fldCharType="end"/>
      </w:r>
      <w:r>
        <w:fldChar w:fldCharType="end"/>
      </w:r>
    </w:p>
    <w:p>
      <w:pPr>
        <w:pStyle w:val="7"/>
        <w:rPr>
          <w:rFonts w:ascii="等线" w:hAnsi="等线" w:eastAsia="等线" w:cs="黑体"/>
          <w:szCs w:val="22"/>
        </w:rPr>
      </w:pPr>
      <w:r>
        <w:fldChar w:fldCharType="begin"/>
      </w:r>
      <w:r>
        <w:instrText xml:space="preserve">HYPERLINK  \l "_Toc103086347" </w:instrText>
      </w:r>
      <w:r>
        <w:fldChar w:fldCharType="separate"/>
      </w:r>
      <w:r>
        <w:rPr>
          <w:rStyle w:val="10"/>
          <w:rFonts w:ascii="仿宋_GB2312" w:hAnsi="黑体" w:eastAsia="仿宋_GB2312" w:cs="宋体"/>
          <w:kern w:val="0"/>
          <w:sz w:val="28"/>
          <w:szCs w:val="28"/>
        </w:rPr>
        <w:t>六、措施建议</w:t>
      </w:r>
      <w:r>
        <w:rPr>
          <w:sz w:val="28"/>
          <w:szCs w:val="28"/>
        </w:rPr>
        <w:tab/>
      </w:r>
      <w:r>
        <w:rPr>
          <w:sz w:val="28"/>
          <w:szCs w:val="28"/>
        </w:rPr>
        <w:fldChar w:fldCharType="begin"/>
      </w:r>
      <w:r>
        <w:rPr>
          <w:sz w:val="28"/>
          <w:szCs w:val="28"/>
        </w:rPr>
        <w:instrText xml:space="preserve"> PAGEREF _Toc103086347 \h </w:instrText>
      </w:r>
      <w:r>
        <w:rPr>
          <w:sz w:val="28"/>
          <w:szCs w:val="28"/>
        </w:rPr>
        <w:fldChar w:fldCharType="separate"/>
      </w:r>
      <w:r>
        <w:rPr>
          <w:sz w:val="28"/>
          <w:szCs w:val="28"/>
        </w:rPr>
        <w:t>27</w:t>
      </w:r>
      <w:r>
        <w:rPr>
          <w:sz w:val="28"/>
          <w:szCs w:val="28"/>
        </w:rPr>
        <w:fldChar w:fldCharType="end"/>
      </w:r>
      <w:r>
        <w:fldChar w:fldCharType="end"/>
      </w:r>
    </w:p>
    <w:p>
      <w:r>
        <w:rPr>
          <w:b/>
          <w:bCs/>
          <w:lang w:val="zh-CN"/>
        </w:rPr>
        <w:fldChar w:fldCharType="end"/>
      </w:r>
    </w:p>
    <w:p/>
    <w:p>
      <w:pPr>
        <w:widowControl/>
        <w:jc w:val="left"/>
        <w:rPr>
          <w:rFonts w:ascii="黑体" w:hAnsi="黑体" w:eastAsia="黑体"/>
          <w:sz w:val="36"/>
          <w:szCs w:val="36"/>
        </w:rPr>
        <w:sectPr>
          <w:footerReference r:id="rId4" w:type="default"/>
          <w:pgSz w:w="11906" w:h="16838"/>
          <w:pgMar w:top="1440" w:right="1800" w:bottom="1440" w:left="1800" w:header="851" w:footer="992" w:gutter="0"/>
          <w:cols w:space="720" w:num="1"/>
          <w:docGrid w:type="lines" w:linePitch="312" w:charSpace="0"/>
        </w:sectPr>
      </w:pPr>
      <w:r>
        <w:rPr>
          <w:rFonts w:ascii="黑体" w:hAnsi="黑体" w:eastAsia="黑体"/>
          <w:sz w:val="36"/>
          <w:szCs w:val="36"/>
        </w:rPr>
        <w:br w:type="page"/>
      </w:r>
    </w:p>
    <w:p>
      <w:pPr>
        <w:spacing w:line="560" w:lineRule="exact"/>
        <w:jc w:val="center"/>
        <w:rPr>
          <w:rFonts w:ascii="方正小标宋简体" w:eastAsia="方正小标宋简体"/>
          <w:sz w:val="36"/>
          <w:szCs w:val="36"/>
        </w:rPr>
      </w:pPr>
      <w:r>
        <w:rPr>
          <w:rFonts w:hint="eastAsia" w:ascii="方正小标宋简体" w:eastAsia="方正小标宋简体"/>
          <w:sz w:val="36"/>
          <w:szCs w:val="36"/>
        </w:rPr>
        <w:t>北京市社会福利事务管理中心</w:t>
      </w:r>
    </w:p>
    <w:p>
      <w:pPr>
        <w:spacing w:line="560" w:lineRule="exact"/>
        <w:jc w:val="center"/>
        <w:rPr>
          <w:rFonts w:ascii="方正小标宋简体" w:eastAsia="方正小标宋简体"/>
          <w:sz w:val="36"/>
          <w:szCs w:val="36"/>
        </w:rPr>
      </w:pPr>
      <w:r>
        <w:rPr>
          <w:rFonts w:hint="eastAsia" w:ascii="方正小标宋简体" w:eastAsia="方正小标宋简体"/>
          <w:sz w:val="36"/>
          <w:szCs w:val="36"/>
        </w:rPr>
        <w:t>部门整体绩效评价报告</w:t>
      </w:r>
    </w:p>
    <w:p>
      <w:pPr>
        <w:jc w:val="center"/>
        <w:rPr>
          <w:rFonts w:ascii="黑体" w:hAnsi="黑体" w:eastAsia="黑体"/>
          <w:sz w:val="36"/>
          <w:szCs w:val="36"/>
        </w:rPr>
      </w:pPr>
    </w:p>
    <w:p>
      <w:pPr>
        <w:spacing w:line="360" w:lineRule="auto"/>
        <w:ind w:firstLine="560" w:firstLineChars="200"/>
        <w:outlineLvl w:val="0"/>
        <w:rPr>
          <w:rFonts w:ascii="黑体" w:hAnsi="黑体" w:eastAsia="黑体" w:cs="宋体"/>
          <w:color w:val="000000"/>
          <w:kern w:val="0"/>
          <w:sz w:val="28"/>
          <w:szCs w:val="28"/>
        </w:rPr>
      </w:pPr>
      <w:bookmarkStart w:id="1" w:name="_Toc392770087"/>
      <w:bookmarkStart w:id="2" w:name="_Toc103086329"/>
      <w:r>
        <w:rPr>
          <w:rFonts w:hint="eastAsia" w:ascii="黑体" w:hAnsi="黑体" w:eastAsia="黑体" w:cs="宋体"/>
          <w:color w:val="000000"/>
          <w:kern w:val="0"/>
          <w:sz w:val="28"/>
          <w:szCs w:val="28"/>
        </w:rPr>
        <w:t>一、部门概</w:t>
      </w:r>
      <w:bookmarkEnd w:id="1"/>
      <w:bookmarkEnd w:id="2"/>
      <w:r>
        <w:rPr>
          <w:rFonts w:hint="eastAsia" w:ascii="黑体" w:hAnsi="黑体" w:eastAsia="黑体" w:cs="宋体"/>
          <w:color w:val="000000"/>
          <w:kern w:val="0"/>
          <w:sz w:val="28"/>
          <w:szCs w:val="28"/>
        </w:rPr>
        <w:t>况</w:t>
      </w:r>
    </w:p>
    <w:p>
      <w:pPr>
        <w:spacing w:line="360" w:lineRule="auto"/>
        <w:ind w:left="105" w:leftChars="50" w:firstLine="640" w:firstLineChars="200"/>
        <w:outlineLvl w:val="1"/>
        <w:rPr>
          <w:rFonts w:ascii="楷体" w:hAnsi="楷体" w:eastAsia="楷体"/>
          <w:sz w:val="32"/>
          <w:szCs w:val="32"/>
        </w:rPr>
      </w:pPr>
      <w:bookmarkStart w:id="3" w:name="_Toc103086330"/>
      <w:bookmarkStart w:id="4" w:name="_Toc392770088"/>
      <w:r>
        <w:rPr>
          <w:rFonts w:hint="eastAsia" w:ascii="楷体" w:hAnsi="楷体" w:eastAsia="楷体"/>
          <w:sz w:val="32"/>
          <w:szCs w:val="32"/>
        </w:rPr>
        <w:t>（一）机构设置及职责工作任务情况</w:t>
      </w:r>
      <w:bookmarkEnd w:id="3"/>
    </w:p>
    <w:p>
      <w:pPr>
        <w:adjustRightInd w:val="0"/>
        <w:snapToGrid w:val="0"/>
        <w:spacing w:line="360" w:lineRule="auto"/>
        <w:ind w:firstLine="640" w:firstLineChars="200"/>
        <w:rPr>
          <w:rFonts w:ascii="仿宋_GB2312" w:hAnsi="仿宋" w:eastAsia="仿宋_GB2312"/>
          <w:sz w:val="32"/>
          <w:szCs w:val="32"/>
        </w:rPr>
      </w:pPr>
      <w:r>
        <w:rPr>
          <w:rFonts w:hint="eastAsia" w:ascii="仿宋_GB2312" w:hAnsi="仿宋" w:eastAsia="仿宋_GB2312"/>
          <w:sz w:val="32"/>
          <w:szCs w:val="32"/>
        </w:rPr>
        <w:t>1.机构设置</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根据北京市九届市委常委第172次会议关于市民政事业管理体制改革试点工作的决定精神和《北京市机构编制委员会关于成立北京市社会福利事务管理中心的通知》（京编委[2006]38号），设立北京市社会福利事务管理中心（以下简称“市福利中心”）。根据《北京市机构编制委员会办公室关于同意调整市民政局所属部分事业单位机构编制事项的函》（京编办事[2014]123号），重新核定内置15个处室，分别为办公室、规划发展处、福利事务一处、福利事务二处、企业改革处、信息与标准化处、资产管理处、计划财务处、审计处、行政保卫处、组织处、人事处、纪检工作处、工会、离退休工作处。</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市福利中心及下属15个预算单位，分别为：北京市第一社会福利院、北京市第二社会福利院、北京市第三社会福利院、北京市第四社会福利院、北京市</w:t>
      </w:r>
      <w:bookmarkStart w:id="5" w:name="OLE_LINK1"/>
      <w:r>
        <w:rPr>
          <w:rFonts w:hint="eastAsia" w:ascii="仿宋_GB2312" w:hAnsi="仿宋_GB2312" w:eastAsia="仿宋_GB2312" w:cs="仿宋_GB2312"/>
          <w:color w:val="000000"/>
          <w:sz w:val="32"/>
          <w:szCs w:val="32"/>
        </w:rPr>
        <w:t>第五社会福利院</w:t>
      </w:r>
      <w:bookmarkEnd w:id="5"/>
      <w:r>
        <w:rPr>
          <w:rFonts w:hint="eastAsia" w:ascii="仿宋_GB2312" w:hAnsi="仿宋_GB2312" w:eastAsia="仿宋_GB2312" w:cs="仿宋_GB2312"/>
          <w:color w:val="000000"/>
          <w:sz w:val="32"/>
          <w:szCs w:val="32"/>
        </w:rPr>
        <w:t>、北京市儿童福利院、北京市第二儿童福利院、北京市社会福利医院、北京市孤残儿童康复示范中心、北京SOS儿童村、北京市养老护理照料示范中心、北京市西北旺公墓管理办公室、北京市民政工业总公司、北京市民政局房产管理所、北京市康复辅具技术中心。</w:t>
      </w:r>
    </w:p>
    <w:p>
      <w:pPr>
        <w:spacing w:line="360" w:lineRule="auto"/>
        <w:ind w:firstLine="640" w:firstLineChars="200"/>
        <w:rPr>
          <w:rFonts w:ascii="仿宋_GB2312" w:hAnsi="仿宋" w:eastAsia="仿宋_GB2312"/>
          <w:sz w:val="32"/>
          <w:szCs w:val="32"/>
        </w:rPr>
      </w:pPr>
      <w:r>
        <w:rPr>
          <w:rFonts w:hint="eastAsia" w:ascii="仿宋_GB2312" w:hAnsi="仿宋_GB2312" w:eastAsia="仿宋_GB2312" w:cs="仿宋_GB2312"/>
          <w:color w:val="000000"/>
          <w:sz w:val="32"/>
          <w:szCs w:val="32"/>
        </w:rPr>
        <w:t>市福利中心</w:t>
      </w:r>
      <w:r>
        <w:rPr>
          <w:rFonts w:hint="eastAsia" w:ascii="仿宋_GB2312" w:hAnsi="仿宋" w:eastAsia="仿宋_GB2312"/>
          <w:sz w:val="32"/>
          <w:szCs w:val="32"/>
        </w:rPr>
        <w:t>及下属15个事业单位（其中：规范工资单位1个、财政补助单位12个，经费自理单位3个），编制1740人。2021年末在岗职工1470人，比2020年少34人；离休人员12人，退休人员全部纳入社保系统发放退休费。</w:t>
      </w:r>
    </w:p>
    <w:p>
      <w:pPr>
        <w:adjustRightInd w:val="0"/>
        <w:snapToGrid w:val="0"/>
        <w:spacing w:line="360" w:lineRule="auto"/>
        <w:ind w:firstLine="640" w:firstLineChars="200"/>
        <w:rPr>
          <w:rFonts w:ascii="仿宋_GB2312" w:hAnsi="仿宋" w:eastAsia="仿宋_GB2312"/>
          <w:sz w:val="32"/>
          <w:szCs w:val="32"/>
        </w:rPr>
      </w:pPr>
      <w:r>
        <w:rPr>
          <w:rFonts w:hint="eastAsia" w:ascii="仿宋_GB2312" w:hAnsi="仿宋" w:eastAsia="仿宋_GB2312"/>
          <w:sz w:val="32"/>
          <w:szCs w:val="32"/>
        </w:rPr>
        <w:t>2.部门职责</w:t>
      </w:r>
      <w:bookmarkEnd w:id="4"/>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市福利中心于2006年正式成立，主要负责对从市民政局划入的社会福利企业、事业单位的人、财、物等内部事务的管理以及存量资源的整合和增量资源的调整等工作；推动社会福利企、事业单位在管理方式、管理制度、运行机制等方面的改革创新，并监督有关工作的实施；受市民政局委托，承办市政府和市有关部门交办的其他事项。</w:t>
      </w:r>
    </w:p>
    <w:p>
      <w:pPr>
        <w:adjustRightInd w:val="0"/>
        <w:snapToGrid w:val="0"/>
        <w:spacing w:line="360" w:lineRule="auto"/>
        <w:ind w:firstLine="640" w:firstLineChars="200"/>
        <w:rPr>
          <w:rFonts w:ascii="仿宋_GB2312" w:hAnsi="仿宋" w:eastAsia="仿宋_GB2312"/>
          <w:sz w:val="32"/>
          <w:szCs w:val="32"/>
        </w:rPr>
      </w:pPr>
      <w:r>
        <w:rPr>
          <w:rFonts w:hint="eastAsia" w:ascii="仿宋_GB2312" w:hAnsi="仿宋" w:eastAsia="仿宋_GB2312"/>
          <w:sz w:val="32"/>
          <w:szCs w:val="32"/>
        </w:rPr>
        <w:t>3.2021年度主要工作任务</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2021年是中国共产党成立100周年，是我国现代化建设进程中具有特殊重要性的一年。市福利中心要坚持以习近平新时代中国特色社会主义思想为指导，深入贯彻党的十九届五中全会精神，全面加强党对市属社会福利工作的领导，坚决贯彻市委市政府、市委社会工委市民政局的决策部署，立足新发展阶段，坚持新发展理念，以推动高质量发展为主题，以首善标准为导向，以满足服务对象的实际需求为目的，聚焦深化改革创新、优化服务保障、强化治理效能、常态化疫情防控，开启市属社会福利事业高质量发展新征程，努力探索构建科学高效、精准优质、规范有序、平安和谐的市属社会福利事业发展新格局，切实增强服务对象获得感幸福感安全感，为“十四五”时期市属社会福利事业开好局、起好步，以优异成绩向建党100周年献礼。</w:t>
      </w:r>
    </w:p>
    <w:p>
      <w:pPr>
        <w:spacing w:line="360" w:lineRule="auto"/>
        <w:ind w:left="105" w:leftChars="50" w:firstLine="640" w:firstLineChars="200"/>
        <w:outlineLvl w:val="1"/>
        <w:rPr>
          <w:rFonts w:ascii="楷体" w:hAnsi="楷体" w:eastAsia="楷体"/>
          <w:sz w:val="32"/>
          <w:szCs w:val="32"/>
        </w:rPr>
      </w:pPr>
      <w:bookmarkStart w:id="6" w:name="_Toc103086331"/>
      <w:r>
        <w:rPr>
          <w:rFonts w:hint="eastAsia" w:ascii="楷体" w:hAnsi="楷体" w:eastAsia="楷体"/>
          <w:sz w:val="32"/>
          <w:szCs w:val="32"/>
        </w:rPr>
        <w:t>（二）部门整体绩效目标设立情况</w:t>
      </w:r>
      <w:bookmarkEnd w:id="6"/>
    </w:p>
    <w:p>
      <w:pPr>
        <w:spacing w:line="360" w:lineRule="auto"/>
        <w:ind w:firstLine="640" w:firstLineChars="200"/>
        <w:rPr>
          <w:rFonts w:ascii="仿宋_GB2312" w:hAnsi="仿宋" w:eastAsia="仿宋_GB2312"/>
          <w:sz w:val="32"/>
          <w:szCs w:val="32"/>
        </w:rPr>
      </w:pPr>
      <w:r>
        <w:rPr>
          <w:rFonts w:hint="eastAsia" w:ascii="仿宋_GB2312" w:hAnsi="仿宋_GB2312" w:eastAsia="仿宋_GB2312" w:cs="仿宋_GB2312"/>
          <w:color w:val="000000"/>
          <w:sz w:val="32"/>
          <w:szCs w:val="32"/>
        </w:rPr>
        <w:t>市福利中心</w:t>
      </w:r>
      <w:r>
        <w:rPr>
          <w:rFonts w:hint="eastAsia" w:ascii="仿宋_GB2312" w:hAnsi="仿宋" w:eastAsia="仿宋_GB2312"/>
          <w:sz w:val="32"/>
          <w:szCs w:val="32"/>
        </w:rPr>
        <w:t>在市委社会工委市民政局的领导下，</w:t>
      </w:r>
      <w:r>
        <w:rPr>
          <w:rFonts w:hint="eastAsia" w:ascii="仿宋_GB2312" w:hAnsi="仿宋_GB2312" w:eastAsia="仿宋_GB2312" w:cs="仿宋_GB2312"/>
          <w:color w:val="000000"/>
          <w:sz w:val="32"/>
          <w:szCs w:val="32"/>
        </w:rPr>
        <w:t>坚持深入贯彻党的十九届五中全会精神，</w:t>
      </w:r>
      <w:r>
        <w:rPr>
          <w:rFonts w:hint="eastAsia" w:ascii="仿宋_GB2312" w:hAnsi="仿宋" w:eastAsia="仿宋_GB2312"/>
          <w:sz w:val="32"/>
          <w:szCs w:val="32"/>
        </w:rPr>
        <w:t>认真贯彻落实民政部、市委市政府和委局部署要求，以稳中求进为工作总基调，坚持以党建为统领，统筹安全和发展，强化双轮驱动、双向发力，聚焦深化改革创新、优化服务保障、强化治理效能、常态化疫情防控，全力推动市属社会福利事业高质量发展为工作任务和目标。</w:t>
      </w:r>
    </w:p>
    <w:p>
      <w:pPr>
        <w:spacing w:line="360" w:lineRule="auto"/>
        <w:ind w:firstLine="627" w:firstLineChars="196"/>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2021年度市福利中心部门整体绩效指标包括：</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1.推动全面从严治党向纵深发展</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（1）巩固主题教育成果，切实提高政治意识。巩固深化“不忘初心、牢记使命”主题教育成果，始终把党的政治建设摆在首位，深入学习党的十九大和十九届五中全会精神。</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突出巡视巡察整改成效，压紧压实主体责任。及时总结市委巡视、委局巡察以及主题教育反馈问题整改工作中好的经验做法，建立健全一批管长远、治根本的有效制度；落实“一岗双责”；持续开展中心机关“三个基层”活动。</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明确问题导向树规范，着力强化队伍建设。持续推进基层党组织换届选举，优化基层党组织设置。加强系统内年轻干部交流调整。坚持“三会一课”、民主生活会、组织生活会、民主评议党员制度，做好“过支部、建档案”工作。树牢纪律意识抓作风，从严从实管党治党。强化各级纪委监督执纪问责作用，从严查办各类违规违纪问题。</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2.继续完善疫情防控策略和应对举措，建立健全常态化防控机制，做好办公场所消杀工作。值守人员责任到人，24小时不间断应急值守。</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市属福利机构做实做细常态化疫情防控工作，认真严格落实常态化疫情防控的相关要求，增强科学应对水平，强化安全防控责任，把疫情防控工作要求落细落实，做好内部管控工作，全力保障休养员健康安全。</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（2）市属殡葬单位巩固和夯实疫情防控工作成果，坚持“外防输入、内防反弹”疫情防控策略。</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（3）总公司和辅具中心统筹协调强化责任制落实，做好物业对社区防疫工作的常态化管理，实现动态排查管控全覆盖。</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3.持续推进重点领域改革</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深入推进市属福利机构社会化改革发展。持续推进市儿童福利院社会化改革，完成残疾儿童康复中心装修改造，正式挂牌对外营业；进一步优化特殊教育中心课程设置；加强家庭无力照料残疾儿童照护工作的宣传和推广。推进SOS儿童村转型发展，总结拓展SOS儿童村家庭养育模式，为儿童提供多种形式的生活保障。</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积极稳妥推进市属殡葬单位改革。根据全市事业单位分类改革总体部署，有序推进市属殡葬事业单位转企改制、撤并整合、资产清查划转、人员分流安置等工作；完善确定市属殡葬企业监管机制；健全礼仪公司法人治理结构；研究确定予以规范保留市属殡葬事业单位的职能定位、岗位设置、人员编制。</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（3）全力协助市国资委做好总公司整体划转后的后续工作。破解改革发展中的难点问题，推进总公司整体划转后的各项工作。</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4.提升福利机构服务保障能力</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（1）持续做好养老机构服务保障工作。</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（2）加强对两家市属公建民营养老机构的安全管控。</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（3）着力提升市属儿童福利机构服务管理水平。</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（4）扎实推进市第三社会福利院、市第四社会福利院回归主业工作。</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5.提升殡葬单位服务保障能力</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针对疫情防控常态化的清明祭扫服务保障工作特点，超前谋划，精心组织，做好清明祭扫服务保障工作。规范殡葬业务流程，提升服务水平。</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6.稳步提升辅具中心可持续发展能力</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发挥辅具中心大师工作室技能人才优势，提供多元化、个性化服务，继续做好康复辅具公益项目，开展行业技能培训和鉴定工作，发挥行业示范引领作用。</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7.切实保障安全稳定工作</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（1）严格落实安全稳定工作责任制。</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（2）加强重点时段和敏感时期的安全稳定工作。</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（3）做好矛盾化解和信访调处工作。</w:t>
      </w:r>
    </w:p>
    <w:p>
      <w:pPr>
        <w:spacing w:line="360" w:lineRule="auto"/>
        <w:ind w:firstLine="640" w:firstLineChars="200"/>
        <w:rPr>
          <w:rFonts w:ascii="仿宋_GB2312" w:hAnsi="仿宋" w:eastAsia="仿宋_GB2312"/>
          <w:sz w:val="32"/>
          <w:szCs w:val="32"/>
        </w:rPr>
      </w:pPr>
      <w:r>
        <w:rPr>
          <w:rFonts w:hint="eastAsia" w:ascii="仿宋_GB2312" w:hAnsi="仿宋" w:eastAsia="仿宋_GB2312"/>
          <w:sz w:val="32"/>
          <w:szCs w:val="32"/>
        </w:rPr>
        <w:t>市福利中心部门整体绩效目标与本单位的部门职责方向一致，指标按照部门工作内容进行统一归类，目标设定与计划工作年度的工作内容相关，具有合理性。</w:t>
      </w:r>
    </w:p>
    <w:p>
      <w:pPr>
        <w:spacing w:line="360" w:lineRule="auto"/>
        <w:ind w:firstLine="560" w:firstLineChars="200"/>
        <w:outlineLvl w:val="0"/>
        <w:rPr>
          <w:rFonts w:ascii="黑体" w:hAnsi="黑体" w:eastAsia="黑体" w:cs="宋体"/>
          <w:color w:val="000000"/>
          <w:kern w:val="0"/>
          <w:sz w:val="28"/>
          <w:szCs w:val="28"/>
        </w:rPr>
      </w:pPr>
      <w:bookmarkStart w:id="7" w:name="_Toc103086332"/>
      <w:r>
        <w:rPr>
          <w:rFonts w:hint="eastAsia" w:ascii="黑体" w:hAnsi="黑体" w:eastAsia="黑体" w:cs="宋体"/>
          <w:color w:val="000000"/>
          <w:kern w:val="0"/>
          <w:sz w:val="28"/>
          <w:szCs w:val="28"/>
        </w:rPr>
        <w:t>二、当年预算执行情况</w:t>
      </w:r>
      <w:bookmarkEnd w:id="7"/>
    </w:p>
    <w:p>
      <w:pPr>
        <w:spacing w:line="360" w:lineRule="auto"/>
        <w:ind w:firstLine="640" w:firstLineChars="200"/>
        <w:rPr>
          <w:rFonts w:ascii="仿宋_GB2312" w:hAnsi="仿宋" w:eastAsia="仿宋_GB2312"/>
          <w:sz w:val="32"/>
          <w:szCs w:val="32"/>
        </w:rPr>
      </w:pPr>
      <w:r>
        <w:rPr>
          <w:rFonts w:hint="eastAsia" w:ascii="仿宋_GB2312" w:hAnsi="仿宋" w:eastAsia="仿宋_GB2312"/>
          <w:sz w:val="32"/>
          <w:szCs w:val="32"/>
        </w:rPr>
        <w:t>2021年全年预算数169,812.67万元，其中，基本支出预算数69,780.71万元，项目支出预算数29,450.48万元，其他支出预算数70,581.48万元。资金总体支出115,227.</w:t>
      </w:r>
      <w:r>
        <w:rPr>
          <w:rFonts w:ascii="仿宋_GB2312" w:hAnsi="仿宋" w:eastAsia="仿宋_GB2312"/>
          <w:sz w:val="32"/>
          <w:szCs w:val="32"/>
        </w:rPr>
        <w:t>0</w:t>
      </w:r>
      <w:r>
        <w:rPr>
          <w:rFonts w:hint="eastAsia" w:ascii="仿宋_GB2312" w:hAnsi="仿宋" w:eastAsia="仿宋_GB2312"/>
          <w:sz w:val="32"/>
          <w:szCs w:val="32"/>
        </w:rPr>
        <w:t>5万元，其中，基本支出63,962.00万元，项目支出33,049.87万元，其他支出18,215.18万元。剔除口径差异后预算执行率为91.74%。</w:t>
      </w:r>
    </w:p>
    <w:p>
      <w:pPr>
        <w:spacing w:line="360" w:lineRule="auto"/>
        <w:ind w:firstLine="643" w:firstLineChars="200"/>
        <w:outlineLvl w:val="0"/>
        <w:rPr>
          <w:rFonts w:ascii="黑体" w:hAnsi="黑体" w:eastAsia="黑体" w:cs="宋体"/>
          <w:b/>
          <w:color w:val="000000"/>
          <w:kern w:val="0"/>
          <w:sz w:val="32"/>
          <w:szCs w:val="32"/>
        </w:rPr>
      </w:pPr>
      <w:bookmarkStart w:id="8" w:name="_Toc103086335"/>
      <w:r>
        <w:rPr>
          <w:rFonts w:hint="eastAsia" w:ascii="黑体" w:hAnsi="黑体" w:eastAsia="黑体" w:cs="宋体"/>
          <w:b/>
          <w:color w:val="000000"/>
          <w:kern w:val="0"/>
          <w:sz w:val="32"/>
          <w:szCs w:val="32"/>
        </w:rPr>
        <w:t>三、整体绩效目标实现情况</w:t>
      </w:r>
      <w:bookmarkEnd w:id="8"/>
    </w:p>
    <w:p>
      <w:pPr>
        <w:spacing w:line="360" w:lineRule="auto"/>
        <w:ind w:left="105" w:leftChars="50" w:firstLine="640" w:firstLineChars="200"/>
        <w:outlineLvl w:val="1"/>
        <w:rPr>
          <w:rFonts w:ascii="楷体" w:hAnsi="楷体" w:eastAsia="楷体"/>
          <w:sz w:val="32"/>
          <w:szCs w:val="32"/>
        </w:rPr>
      </w:pPr>
      <w:bookmarkStart w:id="9" w:name="_Toc103086336"/>
      <w:r>
        <w:rPr>
          <w:rFonts w:hint="eastAsia" w:ascii="楷体" w:hAnsi="楷体" w:eastAsia="楷体"/>
          <w:sz w:val="32"/>
          <w:szCs w:val="32"/>
        </w:rPr>
        <w:t>（一）产出完成情况分析</w:t>
      </w:r>
      <w:bookmarkEnd w:id="9"/>
    </w:p>
    <w:p>
      <w:pPr>
        <w:spacing w:line="360" w:lineRule="auto"/>
        <w:ind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1、产出数量</w:t>
      </w:r>
    </w:p>
    <w:p>
      <w:pPr>
        <w:spacing w:line="360" w:lineRule="auto"/>
        <w:ind w:firstLine="640" w:firstLineChars="200"/>
        <w:rPr>
          <w:rFonts w:ascii="仿宋_GB2312" w:hAnsi="仿宋" w:eastAsia="仿宋_GB2312"/>
          <w:sz w:val="32"/>
          <w:szCs w:val="32"/>
        </w:rPr>
      </w:pPr>
      <w:r>
        <w:rPr>
          <w:rFonts w:hint="eastAsia" w:ascii="仿宋_GB2312" w:hAnsi="仿宋" w:eastAsia="仿宋_GB2312"/>
          <w:sz w:val="32"/>
          <w:szCs w:val="32"/>
        </w:rPr>
        <w:t>（1）推动全面从严治党向纵深发展</w:t>
      </w:r>
    </w:p>
    <w:p>
      <w:pPr>
        <w:spacing w:line="360" w:lineRule="auto"/>
        <w:ind w:firstLine="640" w:firstLineChars="200"/>
        <w:rPr>
          <w:rFonts w:ascii="仿宋_GB2312" w:hAnsi="仿宋" w:eastAsia="仿宋_GB2312"/>
          <w:sz w:val="32"/>
          <w:szCs w:val="32"/>
        </w:rPr>
      </w:pPr>
      <w:r>
        <w:rPr>
          <w:rFonts w:hint="eastAsia" w:ascii="仿宋_GB2312" w:hAnsi="仿宋" w:eastAsia="仿宋_GB2312"/>
          <w:sz w:val="32"/>
          <w:szCs w:val="32"/>
        </w:rPr>
        <w:t>有效开展对市属福利机构的运营服务质量、固定资产使用状况、各专项服务状况以及安全工作进行督导监管并组织开展老人入住评估工作13项；组织完成了针对中心系统12家单位993名工作人员开展心理解压抚慰工作；开展了2期针对市属福利机构业务管理干部及技术骨干的特岗人员技能提升培训，参培人员达到700人次；中心系统管理人员专项业务培训班次12个；完成了39家下属单位的年报审计工作，委托专业第三方协助完成了对中心本级的内控执行情况进行评价、内部风险评估及内控手册修订工作；落实了老干部体检、慰问工作；实施了党建相关书籍、资料的购买印制工作及培训的开展；完成了对总公司16家改革单位进行资产清查，对11家改革单位开展资产评估工作。</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 w:eastAsia="仿宋_GB2312"/>
          <w:sz w:val="32"/>
          <w:szCs w:val="32"/>
        </w:rPr>
        <w:t>（2）</w:t>
      </w:r>
      <w:r>
        <w:rPr>
          <w:rFonts w:hint="eastAsia" w:ascii="仿宋_GB2312" w:hAnsi="仿宋_GB2312" w:eastAsia="仿宋_GB2312" w:cs="仿宋_GB2312"/>
          <w:color w:val="000000"/>
          <w:sz w:val="32"/>
          <w:szCs w:val="32"/>
        </w:rPr>
        <w:t>继续完善疫情防控策略和应对举措，建立健全常态化防控机制</w:t>
      </w:r>
    </w:p>
    <w:p>
      <w:pPr>
        <w:spacing w:line="360" w:lineRule="auto"/>
        <w:ind w:firstLine="640" w:firstLineChars="200"/>
        <w:rPr>
          <w:rFonts w:ascii="仿宋_GB2312" w:hAnsi="仿宋" w:eastAsia="仿宋_GB2312"/>
          <w:sz w:val="32"/>
          <w:szCs w:val="32"/>
        </w:rPr>
      </w:pPr>
      <w:r>
        <w:rPr>
          <w:rFonts w:hint="eastAsia" w:ascii="仿宋_GB2312" w:hAnsi="仿宋" w:eastAsia="仿宋_GB2312"/>
          <w:sz w:val="32"/>
          <w:szCs w:val="32"/>
        </w:rPr>
        <w:t>市福利中心下属的11家福利机构，具体包括：5家社会福利院、市儿童福利院、市第二儿童福利院、SOS儿童村、市福利医院及市养老护理照料示范中心 ，共计聘用安保人员147名；完成疫情防控期院内职工及照料人员购置防疫物资、药剂等物资采购工作；院内被照料人员的专业洗衣外包及垃圾清运工作；11家宽带租赁工作；每年2次的防雷检测、消防设备设施维护检测、更新工作及消防培训、演练工作；医疗信息系统：HIS系统、LIS系统、EMR系统的运维工作；实施完成各福利院护理人员的体检工作。</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（3）持续推进重点领域改革</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①深入推进市属福利机构社会化改革发展</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完成下属各福利院核酸检测实验室设备购置工作，范围包括市第一社会福利院1个、市第二儿童福利院1个；</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完成下属各福利院设备设施安全隐患工程改造工作，范围包括：市第二社会福利院院内供水主管线更新工程、琉璃瓦屋檐改造工程、架空线入地改造工程、更新多功能厅灯光音响、配电室更换低压配电柜、技防监控升级改造、屋面防水工程；市儿童福利院屋面防水面积约1500</w:t>
      </w:r>
      <w:r>
        <w:rPr>
          <w:rFonts w:hint="eastAsia" w:ascii="宋体" w:hAnsi="宋体" w:cs="宋体"/>
          <w:color w:val="000000"/>
          <w:sz w:val="32"/>
          <w:szCs w:val="32"/>
        </w:rPr>
        <w:t>㎡</w:t>
      </w:r>
      <w:r>
        <w:rPr>
          <w:rFonts w:hint="eastAsia" w:ascii="仿宋_GB2312" w:hAnsi="仿宋_GB2312" w:eastAsia="仿宋_GB2312" w:cs="仿宋_GB2312"/>
          <w:color w:val="000000"/>
          <w:sz w:val="32"/>
          <w:szCs w:val="32"/>
        </w:rPr>
        <w:t>、3栋办公楼增加相应的喷淋、烟感报警设施及消防栓、楼面防水进行翻修、更换设备管线，建设规模：300</w:t>
      </w:r>
      <w:r>
        <w:rPr>
          <w:rFonts w:hint="eastAsia" w:ascii="宋体" w:hAnsi="宋体" w:cs="宋体"/>
          <w:color w:val="000000"/>
          <w:sz w:val="32"/>
          <w:szCs w:val="32"/>
        </w:rPr>
        <w:t>㎡</w:t>
      </w:r>
      <w:r>
        <w:rPr>
          <w:rFonts w:hint="eastAsia" w:ascii="仿宋_GB2312" w:hAnsi="仿宋_GB2312" w:eastAsia="仿宋_GB2312" w:cs="仿宋_GB2312"/>
          <w:color w:val="000000"/>
          <w:sz w:val="32"/>
          <w:szCs w:val="32"/>
        </w:rPr>
        <w:t>、铺设面积约10172</w:t>
      </w:r>
      <w:r>
        <w:rPr>
          <w:rFonts w:hint="eastAsia" w:ascii="宋体" w:hAnsi="宋体" w:cs="宋体"/>
          <w:color w:val="000000"/>
          <w:sz w:val="32"/>
          <w:szCs w:val="32"/>
        </w:rPr>
        <w:t>㎡。</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完成下属各福利院医疗、监控等信息系统及医疗设备更新工作，范围包括：市第三社会福利院全自动化学发光免疫分析仪、更新心电图机各1台；市养老护理照料示范中心放射类6台（套）、检验类16台（套）；市第二儿童福利院PACS、电子病历系统升级改造项目新增硬件设备和软件数量14套，机房新增2台服务器、3套精密空调和6台弱电机柜；市儿童福利院综合业务管理系统（一期）1套，设备13台，升级视频监控等安全防范基础设施（雪亮工程）监控设备1套。</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②积极稳妥推进市属殡葬单位改革</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2021年实施了市东郊殡仪馆火化车间8台高档拣灰炉加装尾气净化处理设备对火化机烟气排放进行改造工作；市八宝山革命公墓生态园二期景石及绿化移植工作；市八宝山人民公墓1台变电站拆除及新建工作；修缮市西北旺公墓管理办公室墓区水泥路面500平方米。</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③全力协助市国资委做好总公司整体划转后的后续工作</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完成了对总公司所属困难企业下岗残疾职工基本生活补助工作，其中：盲人59；其他残疾人410人；完成总公司所属5家完全停产企业及4家半停产企业及特别困难企业在职职工296名；总公司所属5家完全停产企业及4家半停产企业及特别困难企业离退休职工3812名的</w:t>
      </w:r>
      <w:r>
        <w:rPr>
          <w:rFonts w:hint="eastAsia" w:ascii="仿宋_GB2312" w:hAnsi="仿宋_GB2312" w:eastAsia="仿宋_GB2312" w:cs="仿宋_GB2312"/>
          <w:color w:val="000000"/>
          <w:sz w:val="32"/>
          <w:szCs w:val="32"/>
          <w:lang w:eastAsia="zh-CN"/>
        </w:rPr>
        <w:t>困</w:t>
      </w:r>
      <w:bookmarkStart w:id="21" w:name="_GoBack"/>
      <w:bookmarkEnd w:id="21"/>
      <w:r>
        <w:rPr>
          <w:rFonts w:hint="eastAsia" w:ascii="仿宋_GB2312" w:hAnsi="仿宋_GB2312" w:eastAsia="仿宋_GB2312" w:cs="仿宋_GB2312"/>
          <w:color w:val="000000"/>
          <w:sz w:val="32"/>
          <w:szCs w:val="32"/>
        </w:rPr>
        <w:t>难群体生活补助费发放工作及困难企业补贴的资金发放工作。</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（4）提升福利机构服务保障能力</w:t>
      </w:r>
    </w:p>
    <w:p>
      <w:pPr>
        <w:spacing w:line="360" w:lineRule="auto"/>
        <w:ind w:firstLine="640" w:firstLineChars="200"/>
        <w:rPr>
          <w:rFonts w:ascii="仿宋_GB2312" w:hAnsi="仿宋" w:eastAsia="仿宋_GB2312"/>
          <w:sz w:val="32"/>
          <w:szCs w:val="32"/>
        </w:rPr>
      </w:pPr>
      <w:r>
        <w:rPr>
          <w:rFonts w:hint="eastAsia" w:ascii="仿宋_GB2312" w:hAnsi="仿宋" w:eastAsia="仿宋_GB2312"/>
          <w:sz w:val="32"/>
          <w:szCs w:val="32"/>
        </w:rPr>
        <w:t>市福利中心与市属福利机构，具体包括：5家社会福利院、市儿童福利院、市第二儿童福利院、SOS儿童村、及市养老护理照料示范中心，实施完成了对1438名三无人员进行生活照料、体检、基础医疗等工作，聘请劳务派遣公司派遣239名专业照料人员补充下属各福利院照料看护人员；SOS儿童村租赁校车2辆、聘用9名妈妈；在世界残疾人日、六一儿童节、世界精神卫生日、重阳节的专项慰问工作。</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（5）提升殡葬单位服务保障能力</w:t>
      </w:r>
    </w:p>
    <w:p>
      <w:pPr>
        <w:spacing w:line="360" w:lineRule="auto"/>
        <w:ind w:firstLine="640" w:firstLineChars="200"/>
        <w:rPr>
          <w:rFonts w:ascii="仿宋_GB2312" w:hAnsi="仿宋" w:eastAsia="仿宋_GB2312"/>
          <w:sz w:val="32"/>
          <w:szCs w:val="32"/>
        </w:rPr>
      </w:pPr>
      <w:r>
        <w:rPr>
          <w:rFonts w:hint="eastAsia" w:ascii="仿宋_GB2312" w:hAnsi="仿宋" w:eastAsia="仿宋_GB2312"/>
          <w:sz w:val="32"/>
          <w:szCs w:val="32"/>
        </w:rPr>
        <w:t>市福利中心</w:t>
      </w:r>
      <w:r>
        <w:rPr>
          <w:rFonts w:hint="eastAsia" w:ascii="仿宋_GB2312" w:hAnsi="仿宋_GB2312" w:eastAsia="仿宋_GB2312" w:cs="仿宋_GB2312"/>
          <w:color w:val="000000"/>
          <w:sz w:val="32"/>
          <w:szCs w:val="32"/>
        </w:rPr>
        <w:t>与下属各殡葬机构，</w:t>
      </w:r>
      <w:r>
        <w:rPr>
          <w:rFonts w:hint="eastAsia" w:ascii="仿宋_GB2312" w:hAnsi="仿宋" w:eastAsia="仿宋_GB2312"/>
          <w:sz w:val="32"/>
          <w:szCs w:val="32"/>
        </w:rPr>
        <w:t>具体包括：市联营公墓管理所、西静园管理处、李大钊烈士陵园、八宝山革命公墓、八宝山殡仪馆、市东郊殡仪馆及西北旺公墓，按照国家</w:t>
      </w:r>
      <w:r>
        <w:rPr>
          <w:rFonts w:hint="eastAsia" w:ascii="仿宋_GB2312" w:hAnsi="仿宋_GB2312" w:eastAsia="仿宋_GB2312" w:cs="仿宋_GB2312"/>
          <w:color w:val="000000"/>
          <w:sz w:val="32"/>
          <w:szCs w:val="32"/>
        </w:rPr>
        <w:t>法律法规，</w:t>
      </w:r>
      <w:r>
        <w:rPr>
          <w:rFonts w:hint="eastAsia" w:ascii="仿宋_GB2312" w:hAnsi="仿宋" w:eastAsia="仿宋_GB2312"/>
          <w:sz w:val="32"/>
          <w:szCs w:val="32"/>
        </w:rPr>
        <w:t>实施完成</w:t>
      </w:r>
      <w:r>
        <w:rPr>
          <w:rFonts w:hint="eastAsia" w:ascii="仿宋_GB2312" w:hAnsi="仿宋_GB2312" w:eastAsia="仿宋_GB2312" w:cs="仿宋_GB2312"/>
          <w:color w:val="000000"/>
          <w:sz w:val="32"/>
          <w:szCs w:val="32"/>
        </w:rPr>
        <w:t>所属墓园的管理监督工作，</w:t>
      </w:r>
      <w:r>
        <w:rPr>
          <w:rFonts w:hint="eastAsia" w:ascii="仿宋_GB2312" w:hAnsi="仿宋" w:eastAsia="仿宋_GB2312"/>
          <w:sz w:val="32"/>
          <w:szCs w:val="32"/>
        </w:rPr>
        <w:t>完成清明期间（3月20日至4月11日）祭扫服务保障工作；累计完成修复和养护176棵古树，加固骨灰墙格位503个，绿化养护29800平方米；实施了陵园室外475平方米的地面铺装，修缮了3间展厅及接待室，维修维护了7辆电瓶车；完成市清明指挥部视频监控系统运维工作，包扣：1套视频监控系统中心存储系统、管理平台系统、集中显示系统和辅助系统的维护工作；完成发放4名原殡葬处离休人员相关费用；完成爱国主义教育基地宣传展板更换及监控维护工作，包括：宣传广告标识制作21套，监控设备维修维护34套。</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（6）稳步提升辅具中心可持续发展能力</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2021年度辅具中心完成了基础修缮消隐改造工作，具体包括：3300平方米院内路面休整（含停车场等空地）的道路，300米自来水管道，12个雨水井，50米雨水管线；门卫室及大门改造工程1项；实施了办公楼外立面装修工程新做外立面保温层6500平方米，新做窗户1000平方米，更换防盗门4樘，雨水管350米。</w:t>
      </w:r>
      <w:r>
        <w:rPr>
          <w:rFonts w:ascii="仿宋_GB2312" w:hAnsi="仿宋_GB2312" w:eastAsia="仿宋_GB2312" w:cs="仿宋_GB2312"/>
          <w:color w:val="000000"/>
          <w:sz w:val="32"/>
          <w:szCs w:val="32"/>
        </w:rPr>
        <w:t>完成了</w:t>
      </w:r>
      <w:r>
        <w:rPr>
          <w:rFonts w:hint="eastAsia" w:ascii="仿宋_GB2312" w:hAnsi="仿宋_GB2312" w:eastAsia="仿宋_GB2312" w:cs="仿宋_GB2312"/>
          <w:color w:val="000000"/>
          <w:sz w:val="32"/>
          <w:szCs w:val="32"/>
        </w:rPr>
        <w:t>定制化护理床研发、轮椅研发、束缚带研发工作各1项及院内基础网络运维、内控梳理及档案电子化工作。</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（7）切实保障安全稳定工作</w:t>
      </w:r>
    </w:p>
    <w:p>
      <w:pPr>
        <w:spacing w:line="360" w:lineRule="auto"/>
        <w:ind w:firstLine="640" w:firstLineChars="200"/>
        <w:rPr>
          <w:rFonts w:ascii="仿宋_GB2312" w:hAnsi="仿宋" w:eastAsia="仿宋_GB2312"/>
          <w:sz w:val="32"/>
          <w:szCs w:val="32"/>
        </w:rPr>
      </w:pPr>
      <w:r>
        <w:rPr>
          <w:rFonts w:hint="eastAsia" w:ascii="仿宋_GB2312" w:hAnsi="仿宋" w:eastAsia="仿宋_GB2312"/>
          <w:sz w:val="32"/>
          <w:szCs w:val="32"/>
        </w:rPr>
        <w:t>市福利中心完成了本级及下属单位共计31家电子政务外网安全接入保障工作；实施了16家下属基层单位安全风险评估和隐患排查工作；开展3次中心系统安全生产培训及1次固定资产清查工作。</w:t>
      </w:r>
    </w:p>
    <w:p>
      <w:pPr>
        <w:spacing w:line="360" w:lineRule="auto"/>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2、产出质量</w:t>
      </w:r>
    </w:p>
    <w:p>
      <w:pPr>
        <w:spacing w:line="360" w:lineRule="auto"/>
        <w:ind w:firstLine="640" w:firstLineChars="200"/>
        <w:rPr>
          <w:rFonts w:ascii="仿宋_GB2312" w:hAnsi="仿宋" w:eastAsia="仿宋_GB2312"/>
          <w:sz w:val="32"/>
          <w:szCs w:val="32"/>
        </w:rPr>
      </w:pPr>
      <w:r>
        <w:rPr>
          <w:rFonts w:hint="eastAsia" w:ascii="仿宋_GB2312" w:hAnsi="仿宋" w:eastAsia="仿宋_GB2312"/>
          <w:sz w:val="32"/>
          <w:szCs w:val="32"/>
        </w:rPr>
        <w:t>（1）推动全面从严治党向纵深发展</w:t>
      </w:r>
    </w:p>
    <w:p>
      <w:pPr>
        <w:spacing w:line="360" w:lineRule="auto"/>
        <w:ind w:firstLine="640" w:firstLineChars="200"/>
        <w:rPr>
          <w:rFonts w:ascii="仿宋_GB2312" w:hAnsi="仿宋" w:eastAsia="仿宋_GB2312"/>
          <w:sz w:val="32"/>
          <w:szCs w:val="32"/>
        </w:rPr>
      </w:pPr>
      <w:r>
        <w:rPr>
          <w:rFonts w:hint="eastAsia" w:ascii="仿宋_GB2312" w:hAnsi="仿宋" w:eastAsia="仿宋_GB2312"/>
          <w:sz w:val="32"/>
          <w:szCs w:val="32"/>
        </w:rPr>
        <w:t>该项工作涵盖10个预算项目，分别由市福利中心的组织处、人事处、办公室、计财处、审计处、老干部处牵头负责，项目实施中严格执行与项目实施内容相关的各项国家行业标准及法规，如：特岗人员技能培训的《中华人民共和国未成年人保护法》；老干部相关工作执行《北京市老干部工作领导责任制》；年报审计、风险评估、资产评估等工作严格执行《中国注册会计师审计准则》。</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 w:eastAsia="仿宋_GB2312"/>
          <w:sz w:val="32"/>
          <w:szCs w:val="32"/>
        </w:rPr>
        <w:t>（2）</w:t>
      </w:r>
      <w:r>
        <w:rPr>
          <w:rFonts w:hint="eastAsia" w:ascii="仿宋_GB2312" w:hAnsi="仿宋_GB2312" w:eastAsia="仿宋_GB2312" w:cs="仿宋_GB2312"/>
          <w:color w:val="000000"/>
          <w:sz w:val="32"/>
          <w:szCs w:val="32"/>
        </w:rPr>
        <w:t>继续完善疫情防控策略和应对举措，建立健全常态化防控机制</w:t>
      </w:r>
    </w:p>
    <w:p>
      <w:pPr>
        <w:spacing w:line="360" w:lineRule="auto"/>
        <w:ind w:firstLine="640" w:firstLineChars="200"/>
        <w:rPr>
          <w:rFonts w:ascii="仿宋_GB2312" w:hAnsi="仿宋" w:eastAsia="仿宋_GB2312"/>
          <w:sz w:val="32"/>
          <w:szCs w:val="32"/>
        </w:rPr>
      </w:pPr>
      <w:r>
        <w:rPr>
          <w:rFonts w:hint="eastAsia" w:ascii="仿宋_GB2312" w:hAnsi="仿宋" w:eastAsia="仿宋_GB2312"/>
          <w:sz w:val="32"/>
          <w:szCs w:val="32"/>
        </w:rPr>
        <w:t>该项工作涵盖11个预算项目，为市福利中心下属的11家预算单位机构运行保障类项目，项目实施中严格执行与项目实施内容相关的各项国家行业标准及法规，如：根据院感要求进行防控，确保疫情防控期间封闭管理，采购消毒和医疗用品；聘用安保人员均为专业安保公司备案人员，持证上岗；洗衣服务外包应同时符合WS/T508-2016《医院医用织物洗涤消毒技术规范》及DB11/662-2009《医院布草洗涤卫生规范》要求；信息化及驻场运维项目涵盖全部系统维护、故障排除，驻场人员应24小时在岗。</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（3）持续推进重点领域改革</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 w:eastAsia="仿宋_GB2312"/>
          <w:sz w:val="32"/>
          <w:szCs w:val="32"/>
        </w:rPr>
        <w:t>该项工作涵盖30个预算项目，分别由市福利中心的规划处、福利一处、福利二处、企改处、市属福利机构、市属殡葬机构、工业公司牵头负责；项目实施中严格执行与项目实施内容相关的各项国家行业标准及法规，如：市</w:t>
      </w:r>
      <w:r>
        <w:rPr>
          <w:rFonts w:hint="eastAsia" w:ascii="仿宋_GB2312" w:hAnsi="仿宋_GB2312" w:eastAsia="仿宋_GB2312" w:cs="仿宋_GB2312"/>
          <w:color w:val="000000"/>
          <w:sz w:val="32"/>
          <w:szCs w:val="32"/>
        </w:rPr>
        <w:t>东郊殡仪馆对火化机烟气排放进行改造工作符合，二</w:t>
      </w:r>
      <w:r>
        <w:rPr>
          <w:rFonts w:hint="eastAsia" w:ascii="宋体" w:hAnsi="宋体" w:cs="宋体"/>
          <w:color w:val="000000"/>
          <w:sz w:val="32"/>
          <w:szCs w:val="32"/>
        </w:rPr>
        <w:t>噁</w:t>
      </w:r>
      <w:r>
        <w:rPr>
          <w:rFonts w:hint="eastAsia" w:ascii="仿宋_GB2312" w:hAnsi="仿宋_GB2312" w:eastAsia="仿宋_GB2312" w:cs="仿宋_GB2312"/>
          <w:color w:val="000000"/>
          <w:sz w:val="32"/>
          <w:szCs w:val="32"/>
        </w:rPr>
        <w:t>英排放浓度小于0.1ng(I-TEQ)/ m3，达到北京市地方标准《火葬场大气污染物排放标准》（DB11/1203-2015）排放限值的要求；市西北旺公墓管理办公室墓区水泥路面修缮工作及市八宝山人民公墓1台变电站拆除、新建工作、市第二社会福利院院内设备设施安全隐患工程改造工作均符合北京市建筑施工及电力设备设施相关标准并验收通过；锅炉低氮改造工作符合北京市《锅炉大气污染物排放标准》（DB11/139-2015）；各福利院核酸检测实验室设备购置工作设备标准符合北京市以前防控工作要求达到卫健委相关标准；医用设备更新项目购置硬件设备符合国家生产标准，满足各院基本医疗业务需要。</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（4）提升福利机构服务保障能力</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 w:eastAsia="仿宋_GB2312"/>
          <w:sz w:val="32"/>
          <w:szCs w:val="32"/>
        </w:rPr>
        <w:t>该项工作涵盖30个预算项目，分别由市福利中心的福利事务一处及市属福利机构负责实施，休养员照料费用严格执行市民政及市财政的统一标准，各福利院结合各院被照料人员的特点每年制定各院被照料人员经费开支明细标准并向市福利中心备案。</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（5）提升殡葬单位服务保障能力</w:t>
      </w:r>
    </w:p>
    <w:p>
      <w:pPr>
        <w:spacing w:line="360" w:lineRule="auto"/>
        <w:ind w:firstLine="640" w:firstLineChars="200"/>
        <w:rPr>
          <w:rFonts w:ascii="仿宋_GB2312" w:hAnsi="仿宋" w:eastAsia="仿宋_GB2312"/>
          <w:sz w:val="32"/>
          <w:szCs w:val="32"/>
        </w:rPr>
      </w:pPr>
      <w:r>
        <w:rPr>
          <w:rFonts w:hint="eastAsia" w:ascii="仿宋_GB2312" w:hAnsi="仿宋" w:eastAsia="仿宋_GB2312"/>
          <w:sz w:val="32"/>
          <w:szCs w:val="32"/>
        </w:rPr>
        <w:t>该项工作涵盖15个预算项目，分别由市福利中心的</w:t>
      </w:r>
      <w:r>
        <w:rPr>
          <w:rFonts w:hint="eastAsia" w:ascii="仿宋_GB2312" w:hAnsi="仿宋_GB2312" w:eastAsia="仿宋_GB2312" w:cs="仿宋_GB2312"/>
          <w:color w:val="000000"/>
          <w:sz w:val="32"/>
          <w:szCs w:val="32"/>
        </w:rPr>
        <w:t>福利事务二处及下属殡葬机构负责实施，聘用人员严格按照统一标准执行，信</w:t>
      </w:r>
      <w:r>
        <w:rPr>
          <w:rFonts w:hint="eastAsia" w:ascii="仿宋_GB2312" w:hAnsi="仿宋" w:eastAsia="仿宋_GB2312"/>
          <w:sz w:val="32"/>
          <w:szCs w:val="32"/>
        </w:rPr>
        <w:t>息化运维项目符合北京市经济和信息化局的标准执行。</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（6）稳步提升辅具中心可持续发展能力</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辅具中心的基础修缮消隐改造工作符合北京市住建委建筑施工改造验收相关标准。</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（7）切实保障安全稳定工作</w:t>
      </w:r>
    </w:p>
    <w:p>
      <w:pPr>
        <w:spacing w:line="360" w:lineRule="auto"/>
        <w:ind w:firstLine="640" w:firstLineChars="200"/>
        <w:rPr>
          <w:rFonts w:ascii="仿宋_GB2312" w:hAnsi="仿宋" w:eastAsia="仿宋_GB2312"/>
          <w:sz w:val="32"/>
          <w:szCs w:val="32"/>
        </w:rPr>
      </w:pPr>
      <w:r>
        <w:rPr>
          <w:rFonts w:hint="eastAsia" w:ascii="仿宋_GB2312" w:hAnsi="仿宋" w:eastAsia="仿宋_GB2312"/>
          <w:sz w:val="32"/>
          <w:szCs w:val="32"/>
        </w:rPr>
        <w:t>电子政务外网安全接入保障工作符合经信局相关标准；基层单位安全风险评估和隐患排查工作及固定资产清查工作符合民政部门及财政资产管理规范。</w:t>
      </w:r>
    </w:p>
    <w:p>
      <w:pPr>
        <w:spacing w:line="360" w:lineRule="auto"/>
        <w:ind w:left="105" w:leftChars="50"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3、产出进度</w:t>
      </w:r>
    </w:p>
    <w:p>
      <w:pPr>
        <w:spacing w:line="360" w:lineRule="auto"/>
        <w:ind w:firstLine="640" w:firstLineChars="200"/>
        <w:rPr>
          <w:rFonts w:ascii="仿宋_GB2312" w:hAnsi="仿宋" w:eastAsia="仿宋_GB2312"/>
          <w:sz w:val="32"/>
          <w:szCs w:val="32"/>
        </w:rPr>
      </w:pPr>
      <w:r>
        <w:rPr>
          <w:rFonts w:hint="eastAsia" w:ascii="仿宋_GB2312" w:hAnsi="仿宋" w:eastAsia="仿宋_GB2312"/>
          <w:sz w:val="32"/>
          <w:szCs w:val="32"/>
        </w:rPr>
        <w:t>截止2021年底除去部分受外部实施条件影响未能有效执行的项目外，其余项目基本按照年初计划实施周期实施完成；2021年度未能有效实施开展的项目涉及到的年度财政预算资金，市福利中心均已及时沟通财政予以核减预算并提前交还市财政，有效避免财政资金的浪费。</w:t>
      </w:r>
    </w:p>
    <w:p>
      <w:pPr>
        <w:spacing w:line="360" w:lineRule="auto"/>
        <w:ind w:firstLine="640" w:firstLineChars="200"/>
        <w:rPr>
          <w:rFonts w:ascii="仿宋_GB2312" w:hAnsi="仿宋" w:eastAsia="仿宋_GB2312"/>
          <w:sz w:val="32"/>
          <w:szCs w:val="32"/>
        </w:rPr>
      </w:pPr>
      <w:r>
        <w:rPr>
          <w:rFonts w:hint="eastAsia" w:ascii="仿宋_GB2312" w:hAnsi="仿宋" w:eastAsia="仿宋_GB2312"/>
          <w:sz w:val="32"/>
          <w:szCs w:val="32"/>
        </w:rPr>
        <w:t>未能有效开展的项目情况简述如下：</w:t>
      </w:r>
    </w:p>
    <w:p>
      <w:pPr>
        <w:spacing w:line="360" w:lineRule="auto"/>
        <w:ind w:firstLine="640" w:firstLineChars="200"/>
        <w:rPr>
          <w:rFonts w:ascii="仿宋_GB2312" w:hAnsi="仿宋" w:eastAsia="仿宋_GB2312"/>
          <w:sz w:val="32"/>
          <w:szCs w:val="32"/>
        </w:rPr>
      </w:pPr>
      <w:r>
        <w:rPr>
          <w:rFonts w:hint="eastAsia" w:ascii="仿宋_GB2312" w:hAnsi="仿宋" w:eastAsia="仿宋_GB2312"/>
          <w:sz w:val="32"/>
          <w:szCs w:val="32"/>
        </w:rPr>
        <w:t xml:space="preserve">（1）推动全面从严治党向纵深发展 </w:t>
      </w:r>
    </w:p>
    <w:p>
      <w:pPr>
        <w:spacing w:line="360" w:lineRule="auto"/>
        <w:ind w:firstLine="640" w:firstLineChars="200"/>
        <w:rPr>
          <w:rFonts w:ascii="仿宋_GB2312" w:hAnsi="仿宋" w:eastAsia="仿宋_GB2312"/>
          <w:sz w:val="32"/>
          <w:szCs w:val="32"/>
        </w:rPr>
      </w:pPr>
      <w:r>
        <w:rPr>
          <w:rFonts w:hint="eastAsia" w:ascii="仿宋_GB2312" w:hAnsi="仿宋" w:eastAsia="仿宋_GB2312"/>
          <w:sz w:val="32"/>
          <w:szCs w:val="32"/>
        </w:rPr>
        <w:t>受疫情影响，市福利中心出国考察经费项目未执行、福利中心工作会项目改为利用视频会议方式线上进行、党建宣传片拍摄工作停止拍摄、培训班项目中3个培训班无法正常进行</w:t>
      </w:r>
    </w:p>
    <w:p>
      <w:pPr>
        <w:spacing w:line="360" w:lineRule="auto"/>
        <w:ind w:firstLine="480" w:firstLineChars="150"/>
        <w:rPr>
          <w:rFonts w:ascii="仿宋_GB2312" w:hAnsi="仿宋_GB2312" w:eastAsia="仿宋_GB2312" w:cs="仿宋_GB2312"/>
          <w:color w:val="000000"/>
          <w:sz w:val="32"/>
          <w:szCs w:val="32"/>
        </w:rPr>
      </w:pPr>
      <w:r>
        <w:rPr>
          <w:rFonts w:hint="eastAsia" w:ascii="仿宋_GB2312" w:hAnsi="仿宋" w:eastAsia="仿宋_GB2312"/>
          <w:sz w:val="32"/>
          <w:szCs w:val="32"/>
        </w:rPr>
        <w:t>（2）</w:t>
      </w:r>
      <w:r>
        <w:rPr>
          <w:rFonts w:hint="eastAsia" w:ascii="仿宋_GB2312" w:hAnsi="仿宋_GB2312" w:eastAsia="仿宋_GB2312" w:cs="仿宋_GB2312"/>
          <w:color w:val="000000"/>
          <w:sz w:val="32"/>
          <w:szCs w:val="32"/>
        </w:rPr>
        <w:t>继续完善疫情防控策略和应对举措，建立健全常态化防控机制</w:t>
      </w:r>
    </w:p>
    <w:p>
      <w:pPr>
        <w:spacing w:line="360" w:lineRule="auto"/>
        <w:ind w:firstLine="640" w:firstLineChars="200"/>
        <w:rPr>
          <w:rFonts w:ascii="仿宋_GB2312" w:hAnsi="仿宋" w:eastAsia="仿宋_GB2312"/>
          <w:sz w:val="32"/>
          <w:szCs w:val="32"/>
        </w:rPr>
      </w:pPr>
      <w:r>
        <w:rPr>
          <w:rFonts w:hint="eastAsia" w:ascii="仿宋_GB2312" w:hAnsi="仿宋" w:eastAsia="仿宋_GB2312"/>
          <w:sz w:val="32"/>
          <w:szCs w:val="32"/>
        </w:rPr>
        <w:t>受疫情影响市福利中心下属的11家社会福利机构实行一级防控管理，其中市儿童福利院原计划为400余名职工进行心理减压提供技能培训工作未能有效开展；市第四福利院会计档案电子化项目未执行；按照事业单位改革任务要求，市孤残儿童康复示范中心机构运行保障经费项目不再实施。</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（3）持续推进重点领域改革</w:t>
      </w:r>
    </w:p>
    <w:p>
      <w:pPr>
        <w:spacing w:line="360" w:lineRule="auto"/>
        <w:ind w:firstLine="640" w:firstLineChars="200"/>
        <w:rPr>
          <w:rFonts w:ascii="仿宋_GB2312" w:hAnsi="仿宋" w:eastAsia="仿宋_GB2312"/>
          <w:sz w:val="32"/>
          <w:szCs w:val="32"/>
        </w:rPr>
      </w:pPr>
      <w:r>
        <w:rPr>
          <w:rFonts w:hint="eastAsia" w:ascii="仿宋_GB2312" w:hAnsi="仿宋" w:eastAsia="仿宋_GB2312"/>
          <w:sz w:val="32"/>
          <w:szCs w:val="32"/>
        </w:rPr>
        <w:t>市第一社会福利院7号楼外墙改造项目与计划实施的楼顶防水维修工程存在交叉施工区域，进一步统筹同步推进实施外墙改造及楼顶防水维修两项工程，2021年度该项目未实施；市第二儿童福利院外围墙加装防护板工程尾款项目由于项目实施方存在违约纠纷，项目未实施。市第四社会福利院房屋结构加固项目，涉及到事业单位改革安排，后续将进行整体改造，项目未实施。</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（4）提升福利机构服务保障能力</w:t>
      </w:r>
    </w:p>
    <w:p>
      <w:pPr>
        <w:spacing w:line="360" w:lineRule="auto"/>
        <w:ind w:firstLine="640" w:firstLineChars="200"/>
        <w:rPr>
          <w:rFonts w:ascii="仿宋_GB2312" w:hAnsi="仿宋" w:eastAsia="仿宋_GB2312"/>
          <w:sz w:val="32"/>
          <w:szCs w:val="32"/>
        </w:rPr>
      </w:pPr>
      <w:r>
        <w:rPr>
          <w:rFonts w:hint="eastAsia" w:ascii="仿宋_GB2312" w:hAnsi="仿宋" w:eastAsia="仿宋_GB2312"/>
          <w:sz w:val="32"/>
          <w:szCs w:val="32"/>
        </w:rPr>
        <w:t>市第五社会福利院计划全年组织10次休养员各项节假日活动，因2021年事业单位改革，市第五社会福利院处于资产清查清算过程中，从9月开始，院内休养员已全部转入市第一社会福利院，后续活动在市第一社会福利院有序开展。</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（5）稳步提升辅具中心可持续发展能力</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辅具中心计划实施的办公楼外立面装修工程中的外立面保温工作，因办公楼外立面基础存在安全隐患问题及疫情管控原因，未启动具体施工工作。</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（6）切实保障安全稳定 </w:t>
      </w:r>
    </w:p>
    <w:p>
      <w:pPr>
        <w:spacing w:line="360" w:lineRule="auto"/>
        <w:ind w:firstLine="640" w:firstLineChars="200"/>
        <w:rPr>
          <w:rFonts w:ascii="仿宋_GB2312" w:hAnsi="仿宋" w:eastAsia="仿宋_GB2312"/>
          <w:sz w:val="32"/>
          <w:szCs w:val="32"/>
        </w:rPr>
      </w:pPr>
      <w:r>
        <w:rPr>
          <w:rFonts w:hint="eastAsia" w:ascii="仿宋_GB2312" w:hAnsi="仿宋" w:eastAsia="仿宋_GB2312"/>
          <w:sz w:val="32"/>
          <w:szCs w:val="32"/>
        </w:rPr>
        <w:t>市社会福利医院的机房及会议设备设施运维服务项目，由于2021年度单位改革，项目暂未执行。</w:t>
      </w:r>
    </w:p>
    <w:p>
      <w:pPr>
        <w:spacing w:line="360" w:lineRule="auto"/>
        <w:ind w:left="105" w:leftChars="50"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4、产出成本</w:t>
      </w:r>
    </w:p>
    <w:p>
      <w:pPr>
        <w:spacing w:line="360" w:lineRule="auto"/>
        <w:ind w:firstLine="640" w:firstLineChars="200"/>
        <w:jc w:val="left"/>
        <w:rPr>
          <w:rFonts w:ascii="仿宋_GB2312" w:hAnsi="仿宋" w:eastAsia="仿宋_GB2312"/>
          <w:sz w:val="32"/>
          <w:szCs w:val="32"/>
        </w:rPr>
      </w:pPr>
      <w:r>
        <w:rPr>
          <w:rFonts w:hint="eastAsia" w:ascii="仿宋_GB2312" w:hAnsi="仿宋" w:eastAsia="仿宋_GB2312"/>
          <w:sz w:val="32"/>
          <w:szCs w:val="32"/>
        </w:rPr>
        <w:t>2021年度市福利中心年初项目总数94个，预算总额为26755.32万元，全年实际到位预算总额为</w:t>
      </w:r>
      <w:r>
        <w:rPr>
          <w:rFonts w:ascii="仿宋_GB2312" w:hAnsi="仿宋" w:eastAsia="仿宋_GB2312"/>
          <w:sz w:val="32"/>
          <w:szCs w:val="32"/>
        </w:rPr>
        <w:t>22003.88</w:t>
      </w:r>
      <w:r>
        <w:rPr>
          <w:rFonts w:hint="eastAsia" w:ascii="仿宋_GB2312" w:hAnsi="仿宋" w:eastAsia="仿宋_GB2312"/>
          <w:sz w:val="32"/>
          <w:szCs w:val="32"/>
        </w:rPr>
        <w:t>万元，实际实施项目总数85个，支出总额为</w:t>
      </w:r>
      <w:r>
        <w:rPr>
          <w:rFonts w:ascii="仿宋_GB2312" w:hAnsi="仿宋" w:eastAsia="仿宋_GB2312"/>
          <w:sz w:val="32"/>
          <w:szCs w:val="32"/>
        </w:rPr>
        <w:t>21463.37</w:t>
      </w:r>
      <w:r>
        <w:rPr>
          <w:rFonts w:hint="eastAsia" w:ascii="仿宋_GB2312" w:hAnsi="仿宋" w:eastAsia="仿宋_GB2312"/>
          <w:sz w:val="32"/>
          <w:szCs w:val="32"/>
        </w:rPr>
        <w:t>万元，预算实际到位执行率为</w:t>
      </w:r>
      <w:r>
        <w:rPr>
          <w:rFonts w:ascii="仿宋_GB2312" w:hAnsi="仿宋" w:eastAsia="仿宋_GB2312"/>
          <w:sz w:val="32"/>
          <w:szCs w:val="32"/>
        </w:rPr>
        <w:t>97.54%</w:t>
      </w:r>
      <w:r>
        <w:rPr>
          <w:rFonts w:hint="eastAsia" w:ascii="仿宋_GB2312" w:hAnsi="仿宋" w:eastAsia="仿宋_GB2312"/>
          <w:sz w:val="32"/>
          <w:szCs w:val="32"/>
        </w:rPr>
        <w:t>，年末</w:t>
      </w:r>
      <w:r>
        <w:rPr>
          <w:rFonts w:ascii="仿宋_GB2312" w:hAnsi="仿宋" w:eastAsia="仿宋_GB2312"/>
          <w:sz w:val="32"/>
          <w:szCs w:val="32"/>
        </w:rPr>
        <w:t>结转结余主要为</w:t>
      </w:r>
      <w:r>
        <w:rPr>
          <w:rFonts w:hint="eastAsia" w:ascii="仿宋_GB2312" w:hAnsi="仿宋" w:eastAsia="仿宋_GB2312"/>
          <w:sz w:val="32"/>
          <w:szCs w:val="32"/>
        </w:rPr>
        <w:t>未</w:t>
      </w:r>
      <w:r>
        <w:rPr>
          <w:rFonts w:ascii="仿宋_GB2312" w:hAnsi="仿宋" w:eastAsia="仿宋_GB2312"/>
          <w:sz w:val="32"/>
          <w:szCs w:val="32"/>
        </w:rPr>
        <w:t>执行完的</w:t>
      </w:r>
      <w:r>
        <w:rPr>
          <w:rFonts w:hint="eastAsia" w:ascii="仿宋_GB2312" w:hAnsi="仿宋" w:eastAsia="仿宋_GB2312"/>
          <w:sz w:val="32"/>
          <w:szCs w:val="32"/>
        </w:rPr>
        <w:t>年中及年末</w:t>
      </w:r>
      <w:r>
        <w:rPr>
          <w:rFonts w:ascii="仿宋_GB2312" w:hAnsi="仿宋" w:eastAsia="仿宋_GB2312"/>
          <w:sz w:val="32"/>
          <w:szCs w:val="32"/>
        </w:rPr>
        <w:t>追加调整项目经费，此部分</w:t>
      </w:r>
      <w:r>
        <w:rPr>
          <w:rFonts w:hint="eastAsia" w:ascii="仿宋_GB2312" w:hAnsi="仿宋" w:eastAsia="仿宋_GB2312"/>
          <w:sz w:val="32"/>
          <w:szCs w:val="32"/>
        </w:rPr>
        <w:t>追加</w:t>
      </w:r>
      <w:r>
        <w:rPr>
          <w:rFonts w:ascii="仿宋_GB2312" w:hAnsi="仿宋" w:eastAsia="仿宋_GB2312"/>
          <w:sz w:val="32"/>
          <w:szCs w:val="32"/>
        </w:rPr>
        <w:t>经费已于</w:t>
      </w:r>
      <w:r>
        <w:rPr>
          <w:rFonts w:hint="eastAsia" w:ascii="仿宋_GB2312" w:hAnsi="仿宋" w:eastAsia="仿宋_GB2312"/>
          <w:sz w:val="32"/>
          <w:szCs w:val="32"/>
        </w:rPr>
        <w:t>2022年4月</w:t>
      </w:r>
      <w:r>
        <w:rPr>
          <w:rFonts w:ascii="仿宋_GB2312" w:hAnsi="仿宋" w:eastAsia="仿宋_GB2312"/>
          <w:sz w:val="32"/>
          <w:szCs w:val="32"/>
        </w:rPr>
        <w:t>底前执行完毕</w:t>
      </w:r>
      <w:r>
        <w:rPr>
          <w:rFonts w:hint="eastAsia" w:ascii="仿宋_GB2312" w:hAnsi="仿宋" w:eastAsia="仿宋_GB2312"/>
          <w:sz w:val="32"/>
          <w:szCs w:val="32"/>
        </w:rPr>
        <w:t>。</w:t>
      </w:r>
    </w:p>
    <w:p>
      <w:pPr>
        <w:spacing w:line="360" w:lineRule="auto"/>
        <w:ind w:left="105" w:leftChars="50" w:firstLine="640" w:firstLineChars="200"/>
        <w:outlineLvl w:val="1"/>
        <w:rPr>
          <w:rFonts w:ascii="楷体" w:hAnsi="楷体" w:eastAsia="楷体"/>
          <w:sz w:val="32"/>
          <w:szCs w:val="32"/>
        </w:rPr>
      </w:pPr>
      <w:bookmarkStart w:id="10" w:name="_Toc103086337"/>
      <w:r>
        <w:rPr>
          <w:rFonts w:hint="eastAsia" w:ascii="楷体" w:hAnsi="楷体" w:eastAsia="楷体"/>
          <w:sz w:val="32"/>
          <w:szCs w:val="32"/>
        </w:rPr>
        <w:t>（二）效果实现情况分析</w:t>
      </w:r>
      <w:bookmarkEnd w:id="10"/>
    </w:p>
    <w:p>
      <w:pPr>
        <w:spacing w:line="360" w:lineRule="auto"/>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1.经济效益</w:t>
      </w:r>
    </w:p>
    <w:p>
      <w:pPr>
        <w:spacing w:line="360" w:lineRule="auto"/>
        <w:ind w:firstLine="480" w:firstLineChars="150"/>
        <w:rPr>
          <w:rFonts w:ascii="仿宋_GB2312" w:hAnsi="仿宋" w:eastAsia="仿宋_GB2312"/>
          <w:sz w:val="32"/>
          <w:szCs w:val="32"/>
        </w:rPr>
      </w:pPr>
      <w:r>
        <w:rPr>
          <w:rFonts w:hint="eastAsia" w:ascii="仿宋_GB2312" w:hAnsi="仿宋" w:eastAsia="仿宋_GB2312"/>
          <w:sz w:val="32"/>
          <w:szCs w:val="32"/>
        </w:rPr>
        <w:t>市福利中心聘用工作人员、保安人员及专业看护及照料人员有效节约各院人员成本开支，提高财政资金使用效率；设备购置、工程施工、信息化升级改造类项目均参照政府采购工作有效执行了招投标工作，有效降低了项目采购成本，提高了项目资金使用效益。</w:t>
      </w:r>
    </w:p>
    <w:p>
      <w:pPr>
        <w:spacing w:line="360" w:lineRule="auto"/>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2.社会效益</w:t>
      </w:r>
    </w:p>
    <w:p>
      <w:pPr>
        <w:spacing w:line="360" w:lineRule="auto"/>
        <w:ind w:firstLine="640" w:firstLineChars="200"/>
        <w:rPr>
          <w:rFonts w:ascii="仿宋_GB2312" w:hAnsi="仿宋" w:eastAsia="仿宋_GB2312"/>
          <w:sz w:val="32"/>
          <w:szCs w:val="32"/>
        </w:rPr>
      </w:pPr>
      <w:r>
        <w:rPr>
          <w:rFonts w:hint="eastAsia" w:ascii="仿宋_GB2312" w:hAnsi="仿宋" w:eastAsia="仿宋_GB2312"/>
          <w:sz w:val="32"/>
          <w:szCs w:val="32"/>
        </w:rPr>
        <w:t xml:space="preserve">（1）推动全面从严治党向纵深发展 </w:t>
      </w:r>
    </w:p>
    <w:p>
      <w:pPr>
        <w:spacing w:line="360" w:lineRule="auto"/>
        <w:ind w:firstLine="640" w:firstLineChars="200"/>
        <w:rPr>
          <w:rFonts w:ascii="仿宋_GB2312" w:hAnsi="仿宋" w:eastAsia="仿宋_GB2312"/>
          <w:sz w:val="32"/>
          <w:szCs w:val="32"/>
        </w:rPr>
      </w:pPr>
      <w:r>
        <w:rPr>
          <w:rFonts w:hint="eastAsia" w:ascii="仿宋_GB2312" w:hAnsi="仿宋" w:eastAsia="仿宋_GB2312"/>
          <w:sz w:val="32"/>
          <w:szCs w:val="32"/>
        </w:rPr>
        <w:t>党务、队伍建设及培训班工作，强化党员政治思想理论武装，提升党员政治觉悟、政治素养，提高新时代北京社会建设和民政系统意识形态和新闻宣传工作水平，加强新冠肺炎疫情防控等复杂形势下的舆论引导、阵地建设和风险防控；</w:t>
      </w:r>
    </w:p>
    <w:p>
      <w:pPr>
        <w:spacing w:line="360" w:lineRule="auto"/>
        <w:ind w:firstLine="640" w:firstLineChars="200"/>
        <w:rPr>
          <w:rFonts w:ascii="仿宋_GB2312" w:hAnsi="仿宋" w:eastAsia="仿宋_GB2312"/>
          <w:sz w:val="32"/>
          <w:szCs w:val="32"/>
        </w:rPr>
      </w:pPr>
      <w:r>
        <w:rPr>
          <w:rFonts w:hint="eastAsia" w:ascii="仿宋_GB2312" w:hAnsi="仿宋" w:eastAsia="仿宋_GB2312"/>
          <w:sz w:val="32"/>
          <w:szCs w:val="32"/>
        </w:rPr>
        <w:t>业务监管工作促使优待服务保障对象的入住公平公开公正；心里解压抚慰活动增强了员工的自信心、抗挫折能力，陶冶职工的情操，增强单位职工的职业归属感和认同感， 提升单位职工的团结协作能力，更好地帮助单位职工排解工作压力；特岗人员技能提升培训工作有效提升市属福利机构医疗、护理、康复、特教、社工等专业技术人员能力素质水平；财务及财务监督审计工作，保障民政资金使用效益，促进福利事业发展，提升财务管理水平。促进预算编制更加科学，预算执行更加规范。促进企业健康良性发展。</w:t>
      </w:r>
    </w:p>
    <w:p>
      <w:pPr>
        <w:spacing w:line="360" w:lineRule="auto"/>
        <w:ind w:left="105" w:leftChars="50" w:firstLine="640" w:firstLineChars="200"/>
        <w:rPr>
          <w:rFonts w:ascii="仿宋_GB2312" w:hAnsi="仿宋" w:eastAsia="仿宋_GB2312"/>
          <w:sz w:val="32"/>
          <w:szCs w:val="32"/>
        </w:rPr>
      </w:pPr>
      <w:r>
        <w:rPr>
          <w:rFonts w:hint="eastAsia" w:ascii="仿宋_GB2312" w:hAnsi="仿宋" w:eastAsia="仿宋_GB2312"/>
          <w:sz w:val="32"/>
          <w:szCs w:val="32"/>
        </w:rPr>
        <w:t>老干部活动经费，积极落实好《北京市老干部工作领导责任制》、《北京市民政局老干部工作领导责任制》要求，进一步加强两项建设工作，落实好两项待遇，努力营造和谐氛围。</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 w:eastAsia="仿宋_GB2312"/>
          <w:sz w:val="32"/>
          <w:szCs w:val="32"/>
        </w:rPr>
        <w:t>（2）</w:t>
      </w:r>
      <w:r>
        <w:rPr>
          <w:rFonts w:hint="eastAsia" w:ascii="仿宋_GB2312" w:hAnsi="仿宋_GB2312" w:eastAsia="仿宋_GB2312" w:cs="仿宋_GB2312"/>
          <w:color w:val="000000"/>
          <w:sz w:val="32"/>
          <w:szCs w:val="32"/>
        </w:rPr>
        <w:t>继续完善疫情防控策略和应对举措，建立健全常态化防控机制</w:t>
      </w:r>
    </w:p>
    <w:p>
      <w:pPr>
        <w:spacing w:line="360" w:lineRule="auto"/>
        <w:ind w:firstLine="640" w:firstLineChars="200"/>
        <w:rPr>
          <w:rFonts w:ascii="仿宋_GB2312" w:hAnsi="仿宋" w:eastAsia="仿宋_GB2312"/>
          <w:sz w:val="32"/>
          <w:szCs w:val="32"/>
        </w:rPr>
      </w:pPr>
      <w:r>
        <w:rPr>
          <w:rFonts w:hint="eastAsia" w:ascii="仿宋_GB2312" w:hAnsi="仿宋" w:eastAsia="仿宋_GB2312"/>
          <w:sz w:val="32"/>
          <w:szCs w:val="32"/>
        </w:rPr>
        <w:t>市福利中心下属的11家预算单位的机构运行保障类项目为福利机构院区提供了安全保障，使院内的安全管理达到规范管理；保障了全院各部门卫生防疫、日常清洁用品正常供应维持各院良好的环境秩序。有效满足员工及被照料人员上网需求，确保信息化各项系统正常运行，工作正常运转。</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（3）持续推进重点领域改革</w:t>
      </w:r>
    </w:p>
    <w:p>
      <w:pPr>
        <w:spacing w:line="360" w:lineRule="auto"/>
        <w:ind w:firstLine="640" w:firstLineChars="200"/>
        <w:rPr>
          <w:rFonts w:ascii="仿宋_GB2312" w:hAnsi="仿宋" w:eastAsia="仿宋_GB2312"/>
          <w:sz w:val="32"/>
          <w:szCs w:val="32"/>
        </w:rPr>
      </w:pPr>
      <w:r>
        <w:rPr>
          <w:rFonts w:hint="eastAsia" w:ascii="仿宋_GB2312" w:hAnsi="仿宋_GB2312" w:eastAsia="仿宋_GB2312" w:cs="仿宋_GB2312"/>
          <w:color w:val="000000"/>
          <w:sz w:val="32"/>
          <w:szCs w:val="32"/>
        </w:rPr>
        <w:t>市八宝山革命公墓生态园二期景石及绿化移植工作，墓区园林化，墓体小型化，安葬多样化，解决日益增长的业务需求，扩大生态墓区范围，缅怀为党做出贡献的优秀党员、干部的同时，传承爱国主义思想；市西北旺公墓管理办公室墓区水泥路面修缮工作及市八宝山人民公墓变电站拆除、新建工作均有效保障了公墓日常工作需要，消除一部分安全隐患，提升了市八宝山人民公墓整体社会形象；总公司对市属福利企业困难群体生活补助费及下岗残疾职工生活费补助工作，一定程度上保障困难群体的基本生活水平，一定程度上缓解了市属福利企业及总公司本级的资金压力，维护首都社会的和谐稳定。</w:t>
      </w:r>
    </w:p>
    <w:p>
      <w:pPr>
        <w:spacing w:line="360" w:lineRule="auto"/>
        <w:ind w:firstLine="480" w:firstLineChars="150"/>
        <w:rPr>
          <w:rFonts w:ascii="仿宋_GB2312" w:hAnsi="仿宋" w:eastAsia="仿宋_GB2312"/>
          <w:sz w:val="32"/>
          <w:szCs w:val="32"/>
        </w:rPr>
      </w:pPr>
      <w:r>
        <w:rPr>
          <w:rFonts w:hint="eastAsia" w:ascii="仿宋_GB2312" w:hAnsi="仿宋_GB2312" w:eastAsia="仿宋_GB2312" w:cs="仿宋_GB2312"/>
          <w:color w:val="000000"/>
          <w:sz w:val="32"/>
          <w:szCs w:val="32"/>
        </w:rPr>
        <w:t>各福利院核酸检测实验室设备购置工作，响应国家抗疫政策，符合相关政府规定要求，发挥综合医疗机构作用，承担疫情防控中必须的核酸检测工作。进一步加强实验室建设，确保核酸检测结果可靠准确，助力临床准确诊断,促进医院整体发展</w:t>
      </w:r>
      <w:r>
        <w:rPr>
          <w:rFonts w:hint="eastAsia" w:ascii="仿宋_GB2312" w:hAnsi="仿宋" w:eastAsia="仿宋_GB2312"/>
          <w:sz w:val="32"/>
          <w:szCs w:val="32"/>
        </w:rPr>
        <w:t>；市</w:t>
      </w:r>
      <w:r>
        <w:rPr>
          <w:rFonts w:hint="eastAsia" w:ascii="仿宋_GB2312" w:hAnsi="仿宋_GB2312" w:eastAsia="仿宋_GB2312" w:cs="仿宋_GB2312"/>
          <w:color w:val="000000"/>
          <w:sz w:val="32"/>
          <w:szCs w:val="32"/>
        </w:rPr>
        <w:t>第二社会福利院院内设备设施安全隐患工程改造工作能够有效消除院内安全隐患，保障用电安全及院内人员人身安全；各福利院医用设备及医疗信息系统更新项目，推进信息在院内和医联体内的互联互通，远程医疗、分级诊疗，满足院内各级管理人员的综合检索、查询、统计和分析需求，辅助科学决策。提升与上级行政部门、医保、社区等外部信息系统的沟通水平，提高医院工作效率。</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（4）提升福利机构服务保障能力</w:t>
      </w:r>
    </w:p>
    <w:p>
      <w:pPr>
        <w:spacing w:line="360" w:lineRule="auto"/>
        <w:ind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该项工作使休养员日常生活得到保证，做到休养员服装整洁、个人卫生清洁、保证环境及休养员人身安全等，并及时提供治疗及外出就医服务，使生病休养员得到及时医疗，保证休养员的健康，保障休养员的合法权益，维护了社会的和谐与稳定，减轻了社会压力，提升了政府部门的影响力。</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（5）提升殡葬单位服务保障能力</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该项工作确保了各殡葬单位管辖墓区的安全与稳定，日常管理、维护、服务以及环境整治得到良好保障；有效服务于祭扫群众，提高了宣传度，深度挖掘革命事迹大力传承红色基因；使教育基地的参观者接受到爱国主义教育，提升祭扫人员的满意度。</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（6）稳步提升辅具中心可持续发展能力</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辅具中心的基础修缮消隐改造工作使单位的安全风险得到控制，吸引更多的残障患者及老年人前来就诊；研发产品到相关机构进行临床试用，提升休养员生活质量，提升单位的社会效益，实现民政为民的基本工作理念。</w:t>
      </w:r>
    </w:p>
    <w:p>
      <w:pPr>
        <w:spacing w:line="360" w:lineRule="auto"/>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（7）切实保障安全稳定工作</w:t>
      </w:r>
    </w:p>
    <w:p>
      <w:pPr>
        <w:spacing w:line="360" w:lineRule="auto"/>
        <w:ind w:firstLine="480" w:firstLineChars="15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电子政务外网保障工作，有效确保信息安全，精简会议减少聚集，助力疫情防控，通过系统处理业务，有效提高工作效率；安全风险评估和隐患排查及安全生产培训工作，有效保障中心系统安全无事故，符合安全生产要求及后勤管理规范有序，促进各级单位安全稳定发展。</w:t>
      </w:r>
    </w:p>
    <w:p>
      <w:pPr>
        <w:spacing w:line="360" w:lineRule="auto"/>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3.环境效益</w:t>
      </w:r>
    </w:p>
    <w:p>
      <w:pPr>
        <w:spacing w:line="360" w:lineRule="auto"/>
        <w:ind w:firstLine="480" w:firstLineChars="15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市东郊殡仪馆加装尾气净化处理设备对火化机烟气排放进行改造工作以及锅炉房运行维护及低氮改造工作，促使整体的排放水平大大降低，烟尘浓度大幅降低，为进一步降低排放总量打下基础；贯彻落实市政府发布实施的“清洁空气行动计划”，对月坛锅炉房、藏经馆锅炉房、华严北里锅炉房等9台燃烧机及附属设备进行低氮改造，为首都大气污染治理，实现蓝天工程贡献力量。</w:t>
      </w:r>
    </w:p>
    <w:p>
      <w:pPr>
        <w:spacing w:line="360" w:lineRule="auto"/>
        <w:ind w:firstLine="640" w:firstLineChars="200"/>
        <w:rPr>
          <w:rFonts w:ascii="仿宋_GB2312" w:hAnsi="宋体" w:eastAsia="仿宋_GB2312" w:cs="宋体"/>
          <w:color w:val="000000"/>
          <w:kern w:val="0"/>
          <w:sz w:val="32"/>
          <w:szCs w:val="32"/>
        </w:rPr>
      </w:pPr>
      <w:r>
        <w:rPr>
          <w:rFonts w:hint="eastAsia" w:ascii="仿宋_GB2312" w:hAnsi="仿宋_GB2312" w:eastAsia="仿宋_GB2312" w:cs="仿宋_GB2312"/>
          <w:color w:val="000000"/>
          <w:sz w:val="32"/>
          <w:szCs w:val="32"/>
        </w:rPr>
        <w:t>辅具中心院内路面及综合管线改造工程有效提升了单位的整体形象，为患者营造优美就诊环境，特别是进一步的节约了水资源，避免了不必要的浪费。</w:t>
      </w:r>
    </w:p>
    <w:p>
      <w:pPr>
        <w:spacing w:line="360" w:lineRule="auto"/>
        <w:ind w:firstLine="560" w:firstLineChars="200"/>
        <w:outlineLvl w:val="0"/>
        <w:rPr>
          <w:rFonts w:ascii="黑体" w:hAnsi="黑体" w:eastAsia="黑体" w:cs="宋体"/>
          <w:color w:val="000000"/>
          <w:kern w:val="0"/>
          <w:sz w:val="28"/>
          <w:szCs w:val="28"/>
        </w:rPr>
      </w:pPr>
      <w:bookmarkStart w:id="11" w:name="_Toc103086338"/>
      <w:r>
        <w:rPr>
          <w:rFonts w:hint="eastAsia" w:ascii="黑体" w:hAnsi="黑体" w:eastAsia="黑体" w:cs="宋体"/>
          <w:color w:val="000000"/>
          <w:kern w:val="0"/>
          <w:sz w:val="28"/>
          <w:szCs w:val="28"/>
        </w:rPr>
        <w:t>四、预算管理情况分析</w:t>
      </w:r>
      <w:bookmarkEnd w:id="11"/>
    </w:p>
    <w:p>
      <w:pPr>
        <w:spacing w:line="360" w:lineRule="auto"/>
        <w:ind w:left="105" w:leftChars="50" w:firstLine="640" w:firstLineChars="200"/>
        <w:outlineLvl w:val="1"/>
        <w:rPr>
          <w:rFonts w:ascii="楷体" w:hAnsi="楷体" w:eastAsia="楷体"/>
          <w:sz w:val="32"/>
          <w:szCs w:val="32"/>
        </w:rPr>
      </w:pPr>
      <w:bookmarkStart w:id="12" w:name="_Toc103086339"/>
      <w:r>
        <w:rPr>
          <w:rFonts w:hint="eastAsia" w:ascii="楷体" w:hAnsi="楷体" w:eastAsia="楷体"/>
          <w:sz w:val="32"/>
          <w:szCs w:val="32"/>
        </w:rPr>
        <w:t>（一）财务管理</w:t>
      </w:r>
      <w:bookmarkEnd w:id="12"/>
    </w:p>
    <w:p>
      <w:pPr>
        <w:spacing w:line="360" w:lineRule="auto"/>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1.财务管理制度健全性</w:t>
      </w:r>
    </w:p>
    <w:p>
      <w:pPr>
        <w:spacing w:line="360" w:lineRule="auto"/>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市福利中心制定了《管理制度汇编》及《财务工作手册》，对资金支付、绩效管理、项目评审、预算决算、大额资金、会议费管理、财务报销管理、捐赠款物管理、财会人员岗位职责、财务票据管理等均有详细规定。并根据市财政局的政策规定，及时进行修订和更新。</w:t>
      </w:r>
    </w:p>
    <w:p>
      <w:pPr>
        <w:spacing w:line="360" w:lineRule="auto"/>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2.资金使用合规性和安全性</w:t>
      </w:r>
    </w:p>
    <w:p>
      <w:pPr>
        <w:spacing w:line="360" w:lineRule="auto"/>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市福利中心使用财务集成系统信息化管控，夯实单位管理基础，使管理可视、可控、可比、可追，全面提高单位的业务与财务管理水平。</w:t>
      </w:r>
    </w:p>
    <w:p>
      <w:pPr>
        <w:spacing w:line="360" w:lineRule="auto"/>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实现了单位的人、财、物、信息资源的集约化管理，优化资源结构和资源配置。</w:t>
      </w:r>
    </w:p>
    <w:p>
      <w:pPr>
        <w:spacing w:line="360" w:lineRule="auto"/>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深化单位财务管理，实现行政事业单位内控信息化落地，进一步规范会计行为，提高会计信息质量。</w:t>
      </w:r>
    </w:p>
    <w:p>
      <w:pPr>
        <w:spacing w:line="360" w:lineRule="auto"/>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基于业务财务事项的智能化处理，自动生成“双分录”、生成“双报告”，大幅度减少财务人员重复劳动，提高工作效率。</w:t>
      </w:r>
    </w:p>
    <w:p>
      <w:pPr>
        <w:spacing w:line="360" w:lineRule="auto"/>
        <w:ind w:firstLine="640" w:firstLineChars="200"/>
        <w:rPr>
          <w:rFonts w:ascii="楷体" w:hAnsi="楷体" w:eastAsia="楷体"/>
          <w:sz w:val="32"/>
          <w:szCs w:val="32"/>
        </w:rPr>
      </w:pPr>
      <w:r>
        <w:rPr>
          <w:rFonts w:hint="eastAsia" w:ascii="仿宋_GB2312" w:hAnsi="宋体" w:eastAsia="仿宋_GB2312" w:cs="宋体"/>
          <w:color w:val="000000"/>
          <w:kern w:val="0"/>
          <w:sz w:val="32"/>
          <w:szCs w:val="32"/>
        </w:rPr>
        <w:t>完整的业务和财务大数据存储和数据挖掘，提供多维度、多层次的决策分析的支持，充分发挥数据的应用价值。</w:t>
      </w:r>
    </w:p>
    <w:p>
      <w:pPr>
        <w:spacing w:line="360" w:lineRule="auto"/>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3.会计基础信息完善性</w:t>
      </w:r>
    </w:p>
    <w:p>
      <w:pPr>
        <w:spacing w:line="360" w:lineRule="auto"/>
        <w:ind w:firstLine="640" w:firstLineChars="2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按照制度规定，市福利中心不断完善会计基础信息管理工作，依托信息化手段，将原始凭证的审核固化在财务集成系统中，全面、准确、完整的电子会计档案库可多元化追溯查询到业务审批单据、会计核算凭证信息、其他电子档案。</w:t>
      </w:r>
    </w:p>
    <w:p>
      <w:pPr>
        <w:spacing w:line="360" w:lineRule="auto"/>
        <w:ind w:left="105" w:leftChars="50" w:firstLine="640" w:firstLineChars="200"/>
        <w:outlineLvl w:val="1"/>
        <w:rPr>
          <w:rFonts w:ascii="楷体" w:hAnsi="楷体" w:eastAsia="楷体"/>
          <w:sz w:val="32"/>
          <w:szCs w:val="32"/>
        </w:rPr>
      </w:pPr>
      <w:bookmarkStart w:id="13" w:name="_Toc103086340"/>
      <w:r>
        <w:rPr>
          <w:rFonts w:hint="eastAsia" w:ascii="楷体" w:hAnsi="楷体" w:eastAsia="楷体"/>
          <w:sz w:val="32"/>
          <w:szCs w:val="32"/>
        </w:rPr>
        <w:t>（二）资产管理</w:t>
      </w:r>
      <w:bookmarkEnd w:id="13"/>
    </w:p>
    <w:p>
      <w:pPr>
        <w:spacing w:line="360" w:lineRule="auto"/>
        <w:ind w:firstLine="640" w:firstLineChars="200"/>
        <w:rPr>
          <w:rFonts w:ascii="仿宋_GB2312" w:eastAsia="仿宋_GB2312"/>
          <w:sz w:val="32"/>
          <w:szCs w:val="32"/>
        </w:rPr>
      </w:pPr>
      <w:r>
        <w:rPr>
          <w:rFonts w:hint="eastAsia" w:ascii="仿宋_GB2312" w:eastAsia="仿宋_GB2312"/>
          <w:sz w:val="32"/>
          <w:szCs w:val="32"/>
        </w:rPr>
        <w:t>市福利中心制定了《市福利中心重大财务事项审批管理实施细则》、《市福利中心综合财务管理制度》、《市福利中心资金支付管理办法》、《市福利中心国有资产管理办法》、《市福利中心固定资产管理办法》等各项资产管理制度，并在部门工作中基本得到执行，固定资产出入库手续健全、定期盘点。</w:t>
      </w:r>
    </w:p>
    <w:p>
      <w:pPr>
        <w:spacing w:line="360" w:lineRule="auto"/>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年末市福利中心资产总额为</w:t>
      </w:r>
      <w:r>
        <w:rPr>
          <w:rFonts w:ascii="仿宋_GB2312" w:eastAsia="仿宋_GB2312"/>
          <w:sz w:val="32"/>
          <w:szCs w:val="32"/>
        </w:rPr>
        <w:t>442234.52</w:t>
      </w:r>
      <w:r>
        <w:rPr>
          <w:rFonts w:hint="eastAsia" w:ascii="仿宋_GB2312" w:eastAsia="仿宋_GB2312"/>
          <w:sz w:val="32"/>
          <w:szCs w:val="32"/>
        </w:rPr>
        <w:t>万元。其中：本级资产</w:t>
      </w:r>
      <w:r>
        <w:rPr>
          <w:rFonts w:ascii="仿宋_GB2312" w:eastAsia="仿宋_GB2312"/>
          <w:sz w:val="32"/>
          <w:szCs w:val="32"/>
        </w:rPr>
        <w:t>17809.40</w:t>
      </w:r>
      <w:r>
        <w:rPr>
          <w:rFonts w:hint="eastAsia" w:ascii="仿宋_GB2312" w:eastAsia="仿宋_GB2312"/>
          <w:sz w:val="32"/>
          <w:szCs w:val="32"/>
        </w:rPr>
        <w:t>万元，包括流动资产</w:t>
      </w:r>
      <w:r>
        <w:rPr>
          <w:rFonts w:ascii="仿宋_GB2312" w:eastAsia="仿宋_GB2312"/>
          <w:sz w:val="32"/>
          <w:szCs w:val="32"/>
        </w:rPr>
        <w:t>3756.96</w:t>
      </w:r>
      <w:r>
        <w:rPr>
          <w:rFonts w:hint="eastAsia" w:ascii="仿宋_GB2312" w:eastAsia="仿宋_GB2312"/>
          <w:sz w:val="32"/>
          <w:szCs w:val="32"/>
        </w:rPr>
        <w:t>万元，固定资产净值14052.44万元；下属事业单位资产</w:t>
      </w:r>
      <w:r>
        <w:rPr>
          <w:rFonts w:ascii="仿宋_GB2312" w:eastAsia="仿宋_GB2312"/>
          <w:sz w:val="32"/>
          <w:szCs w:val="32"/>
        </w:rPr>
        <w:t>424425.12</w:t>
      </w:r>
      <w:r>
        <w:rPr>
          <w:rFonts w:hint="eastAsia" w:ascii="仿宋_GB2312" w:eastAsia="仿宋_GB2312"/>
          <w:sz w:val="32"/>
          <w:szCs w:val="32"/>
        </w:rPr>
        <w:t>万元，包括流动资产</w:t>
      </w:r>
      <w:r>
        <w:rPr>
          <w:rFonts w:ascii="仿宋_GB2312" w:eastAsia="仿宋_GB2312"/>
          <w:sz w:val="32"/>
          <w:szCs w:val="32"/>
        </w:rPr>
        <w:t>171262.43</w:t>
      </w:r>
      <w:r>
        <w:rPr>
          <w:rFonts w:hint="eastAsia" w:ascii="仿宋_GB2312" w:eastAsia="仿宋_GB2312"/>
          <w:sz w:val="32"/>
          <w:szCs w:val="32"/>
        </w:rPr>
        <w:t>万元，固定资产净值</w:t>
      </w:r>
      <w:r>
        <w:rPr>
          <w:rFonts w:ascii="仿宋_GB2312" w:eastAsia="仿宋_GB2312"/>
          <w:sz w:val="32"/>
          <w:szCs w:val="32"/>
        </w:rPr>
        <w:t>157169.65</w:t>
      </w:r>
      <w:r>
        <w:rPr>
          <w:rFonts w:hint="eastAsia" w:ascii="仿宋_GB2312" w:eastAsia="仿宋_GB2312"/>
          <w:sz w:val="32"/>
          <w:szCs w:val="32"/>
        </w:rPr>
        <w:t>万元，在建工程77260.16万元，无形资产净值871.31万元。</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截至2021年底，市福利中心共有车辆91台，共计2085.83万元；单位价值50万元以上的通用设备57台（套），共计15567.07万元，单位价值100万元以上的专用设备59台（套）、共计14239.65万元。</w:t>
      </w:r>
    </w:p>
    <w:p>
      <w:pPr>
        <w:spacing w:line="360" w:lineRule="auto"/>
        <w:ind w:left="105" w:leftChars="50" w:firstLine="640" w:firstLineChars="200"/>
        <w:outlineLvl w:val="1"/>
        <w:rPr>
          <w:rFonts w:ascii="楷体" w:hAnsi="楷体" w:eastAsia="楷体"/>
          <w:sz w:val="32"/>
          <w:szCs w:val="32"/>
        </w:rPr>
      </w:pPr>
      <w:bookmarkStart w:id="14" w:name="_Toc103086341"/>
      <w:r>
        <w:rPr>
          <w:rFonts w:hint="eastAsia" w:ascii="楷体" w:hAnsi="楷体" w:eastAsia="楷体"/>
          <w:sz w:val="32"/>
          <w:szCs w:val="32"/>
        </w:rPr>
        <w:t>（三）绩效管理</w:t>
      </w:r>
      <w:bookmarkEnd w:id="14"/>
    </w:p>
    <w:p>
      <w:pPr>
        <w:spacing w:line="360" w:lineRule="auto"/>
        <w:ind w:firstLine="640" w:firstLineChars="200"/>
        <w:rPr>
          <w:rFonts w:ascii="仿宋_GB2312" w:hAnsi="Calibri" w:eastAsia="仿宋_GB2312"/>
          <w:sz w:val="32"/>
          <w:szCs w:val="32"/>
        </w:rPr>
      </w:pPr>
      <w:r>
        <w:rPr>
          <w:rFonts w:hint="eastAsia" w:ascii="仿宋_GB2312" w:hAnsi="Calibri" w:eastAsia="仿宋_GB2312"/>
          <w:sz w:val="32"/>
          <w:szCs w:val="32"/>
        </w:rPr>
        <w:t>1.加强组织领导</w:t>
      </w:r>
    </w:p>
    <w:p>
      <w:pPr>
        <w:spacing w:line="360" w:lineRule="auto"/>
        <w:ind w:firstLine="640" w:firstLineChars="200"/>
        <w:rPr>
          <w:rFonts w:ascii="仿宋_GB2312" w:hAnsi="Calibri" w:eastAsia="仿宋_GB2312"/>
          <w:sz w:val="32"/>
          <w:szCs w:val="32"/>
        </w:rPr>
      </w:pPr>
      <w:r>
        <w:rPr>
          <w:rFonts w:hint="eastAsia" w:ascii="仿宋_GB2312" w:hAnsi="Calibri" w:eastAsia="仿宋_GB2312"/>
          <w:sz w:val="32"/>
          <w:szCs w:val="32"/>
        </w:rPr>
        <w:t>市福利中心</w:t>
      </w:r>
      <w:r>
        <w:rPr>
          <w:rFonts w:hint="eastAsia" w:ascii="仿宋_GB2312" w:hAnsi="仿宋" w:eastAsia="仿宋_GB2312"/>
          <w:sz w:val="32"/>
          <w:szCs w:val="32"/>
        </w:rPr>
        <w:t>从2014年起被确定为绩效管理试点部门，预算项目全部实施绩效管理。</w:t>
      </w:r>
      <w:r>
        <w:rPr>
          <w:rFonts w:hint="eastAsia" w:ascii="仿宋_GB2312" w:hAnsi="Calibri" w:eastAsia="仿宋_GB2312"/>
          <w:sz w:val="32"/>
          <w:szCs w:val="32"/>
        </w:rPr>
        <w:t>为确保年度部门绩效管理工作的顺利开展，市福利中心成立预算绩效工作领导小组，</w:t>
      </w:r>
      <w:r>
        <w:rPr>
          <w:rFonts w:hint="eastAsia" w:ascii="仿宋_GB2312" w:hAnsi="仿宋" w:eastAsia="仿宋_GB2312"/>
          <w:sz w:val="32"/>
          <w:szCs w:val="32"/>
        </w:rPr>
        <w:t>协调各业务处室及下属单位的绩效管理工作，并根据部门工作职责，将部门年度绩效目标分解到福利中心本级各业务处室和下属15个预算单位，并指定专人负责绩效管理工作。</w:t>
      </w:r>
    </w:p>
    <w:p>
      <w:pPr>
        <w:spacing w:line="360" w:lineRule="auto"/>
        <w:ind w:firstLine="640" w:firstLineChars="200"/>
        <w:rPr>
          <w:rFonts w:ascii="仿宋_GB2312" w:hAnsi="Calibri" w:eastAsia="仿宋_GB2312"/>
          <w:sz w:val="32"/>
          <w:szCs w:val="32"/>
        </w:rPr>
      </w:pPr>
      <w:r>
        <w:rPr>
          <w:rFonts w:hint="eastAsia" w:ascii="仿宋_GB2312" w:eastAsia="仿宋_GB2312"/>
          <w:sz w:val="32"/>
          <w:szCs w:val="32"/>
        </w:rPr>
        <w:t>由中心计划财务处与</w:t>
      </w:r>
      <w:r>
        <w:rPr>
          <w:rFonts w:hint="eastAsia" w:ascii="仿宋_GB2312" w:hAnsi="Calibri" w:eastAsia="仿宋_GB2312"/>
          <w:sz w:val="32"/>
          <w:szCs w:val="32"/>
        </w:rPr>
        <w:t>第三方机构共同组成了绩效工作组，负责绩效工作的日常管理和过程监督，并定期向领导小组汇报工作开展情况，领导小组听取汇报后，讨论解决工作过程中发现的重大问题，为全年度绩效管理工作提供了有力的组织保障。</w:t>
      </w:r>
    </w:p>
    <w:p>
      <w:pPr>
        <w:spacing w:line="360" w:lineRule="auto"/>
        <w:ind w:firstLine="640" w:firstLineChars="200"/>
        <w:rPr>
          <w:rFonts w:ascii="仿宋_GB2312" w:hAnsi="Calibri" w:eastAsia="仿宋_GB2312"/>
          <w:sz w:val="32"/>
          <w:szCs w:val="32"/>
        </w:rPr>
      </w:pPr>
      <w:r>
        <w:rPr>
          <w:rFonts w:hint="eastAsia" w:ascii="仿宋_GB2312" w:hAnsi="Calibri" w:eastAsia="仿宋_GB2312"/>
          <w:sz w:val="32"/>
          <w:szCs w:val="32"/>
        </w:rPr>
        <w:t>2.加强组织培训</w:t>
      </w:r>
    </w:p>
    <w:p>
      <w:pPr>
        <w:spacing w:line="360" w:lineRule="auto"/>
        <w:ind w:firstLine="640" w:firstLineChars="200"/>
        <w:rPr>
          <w:rFonts w:ascii="仿宋_GB2312" w:hAnsi="Calibri" w:eastAsia="仿宋_GB2312"/>
          <w:sz w:val="32"/>
          <w:szCs w:val="32"/>
        </w:rPr>
      </w:pPr>
      <w:r>
        <w:rPr>
          <w:rFonts w:hint="eastAsia" w:ascii="仿宋_GB2312" w:hAnsi="Calibri" w:eastAsia="仿宋_GB2312"/>
          <w:sz w:val="32"/>
          <w:szCs w:val="32"/>
        </w:rPr>
        <w:t>市福利中心聘请第三方中介机构对有需求的</w:t>
      </w:r>
      <w:r>
        <w:rPr>
          <w:rFonts w:hint="eastAsia" w:ascii="仿宋_GB2312" w:eastAsia="仿宋_GB2312"/>
          <w:sz w:val="32"/>
          <w:szCs w:val="32"/>
        </w:rPr>
        <w:t>中心</w:t>
      </w:r>
      <w:r>
        <w:rPr>
          <w:rFonts w:hint="eastAsia" w:ascii="仿宋_GB2312" w:hAnsi="宋体" w:eastAsia="仿宋_GB2312"/>
          <w:sz w:val="32"/>
          <w:szCs w:val="32"/>
        </w:rPr>
        <w:t>下属各单位开展</w:t>
      </w:r>
      <w:r>
        <w:rPr>
          <w:rFonts w:hint="eastAsia" w:ascii="仿宋_GB2312" w:hAnsi="Calibri" w:eastAsia="仿宋_GB2312"/>
          <w:sz w:val="32"/>
          <w:szCs w:val="32"/>
        </w:rPr>
        <w:t>预算绩效管理工作培训，详细了解绩效管理工作的目的、意义、工作流程及相关要求，进一步增强了各单位对绩效管理工作的认识，强化了绩效自觉意识。</w:t>
      </w:r>
    </w:p>
    <w:p>
      <w:pPr>
        <w:spacing w:line="360" w:lineRule="auto"/>
        <w:ind w:firstLine="640" w:firstLineChars="200"/>
        <w:rPr>
          <w:rFonts w:ascii="仿宋_GB2312" w:hAnsi="Calibri" w:eastAsia="仿宋_GB2312"/>
          <w:sz w:val="32"/>
          <w:szCs w:val="32"/>
        </w:rPr>
      </w:pPr>
      <w:r>
        <w:rPr>
          <w:rFonts w:hint="eastAsia" w:ascii="仿宋_GB2312" w:hAnsi="Calibri" w:eastAsia="仿宋_GB2312"/>
          <w:sz w:val="32"/>
          <w:szCs w:val="32"/>
        </w:rPr>
        <w:t>3.强化过程监督</w:t>
      </w:r>
    </w:p>
    <w:p>
      <w:pPr>
        <w:spacing w:line="360" w:lineRule="auto"/>
        <w:ind w:firstLine="640" w:firstLineChars="200"/>
        <w:rPr>
          <w:rFonts w:ascii="仿宋_GB2312" w:hAnsi="Calibri" w:eastAsia="仿宋_GB2312"/>
          <w:sz w:val="32"/>
          <w:szCs w:val="32"/>
        </w:rPr>
      </w:pPr>
      <w:r>
        <w:rPr>
          <w:rFonts w:hint="eastAsia" w:ascii="仿宋_GB2312" w:hAnsi="Calibri" w:eastAsia="仿宋_GB2312"/>
          <w:sz w:val="32"/>
          <w:szCs w:val="32"/>
        </w:rPr>
        <w:t>为保证绩效管理工作的有序开展，市福利中心通过事前绩效评估、事中绩效监控、事后绩效评价等手段，确保绩效管理贯穿项目实施的全过程。</w:t>
      </w:r>
      <w:r>
        <w:rPr>
          <w:rFonts w:hint="eastAsia" w:ascii="仿宋_GB2312" w:hAnsi="仿宋" w:eastAsia="仿宋_GB2312"/>
          <w:sz w:val="32"/>
          <w:szCs w:val="32"/>
        </w:rPr>
        <w:t>各业务处室及下属单位根据部门绩效目标分解任务，定期对照检查本处室单位绩效管理工作进展情况，较好地实现了部门各项绩效目标。</w:t>
      </w:r>
    </w:p>
    <w:p>
      <w:pPr>
        <w:spacing w:line="360" w:lineRule="auto"/>
        <w:ind w:left="105" w:leftChars="50" w:firstLine="640" w:firstLineChars="200"/>
        <w:outlineLvl w:val="1"/>
        <w:rPr>
          <w:rFonts w:ascii="楷体" w:hAnsi="楷体" w:eastAsia="楷体"/>
          <w:sz w:val="32"/>
          <w:szCs w:val="32"/>
        </w:rPr>
      </w:pPr>
      <w:bookmarkStart w:id="15" w:name="_Toc103086342"/>
      <w:r>
        <w:rPr>
          <w:rFonts w:hint="eastAsia" w:ascii="楷体" w:hAnsi="楷体" w:eastAsia="楷体"/>
          <w:sz w:val="32"/>
          <w:szCs w:val="32"/>
        </w:rPr>
        <w:t>（四）结转结余率</w:t>
      </w:r>
      <w:bookmarkEnd w:id="15"/>
    </w:p>
    <w:p>
      <w:pPr>
        <w:spacing w:line="360" w:lineRule="auto"/>
        <w:ind w:firstLine="640" w:firstLineChars="200"/>
        <w:rPr>
          <w:rFonts w:ascii="仿宋_GB2312" w:eastAsia="仿宋_GB2312"/>
          <w:sz w:val="32"/>
          <w:szCs w:val="32"/>
        </w:rPr>
      </w:pPr>
      <w:r>
        <w:rPr>
          <w:rFonts w:hint="eastAsia" w:ascii="仿宋_GB2312" w:eastAsia="仿宋_GB2312"/>
          <w:sz w:val="32"/>
          <w:szCs w:val="32"/>
        </w:rPr>
        <w:t>市福利中心2021年末财政拨款结转和结余金额为3429.57万元，其中：</w:t>
      </w:r>
      <w:r>
        <w:rPr>
          <w:rFonts w:hint="eastAsia" w:ascii="仿宋_GB2312" w:hAnsi="仿宋" w:eastAsia="仿宋_GB2312"/>
          <w:sz w:val="32"/>
          <w:szCs w:val="32"/>
        </w:rPr>
        <w:t>一般公共预算财政拨款3411.97万元，政府性基金预算财政拨款17.60万元,年末结转结余金额占当年度收入总额的2.99%；财政拨款结转结余主要为未执行完的财政拨款及2021年中追加调整项目经费，追加经费预计将在2022年4月底前执行完毕。</w:t>
      </w:r>
    </w:p>
    <w:p>
      <w:pPr>
        <w:spacing w:line="360" w:lineRule="auto"/>
        <w:ind w:left="105" w:leftChars="50" w:firstLine="640" w:firstLineChars="200"/>
        <w:outlineLvl w:val="1"/>
        <w:rPr>
          <w:rFonts w:ascii="楷体" w:hAnsi="楷体" w:eastAsia="楷体"/>
          <w:sz w:val="32"/>
          <w:szCs w:val="32"/>
        </w:rPr>
      </w:pPr>
      <w:bookmarkStart w:id="16" w:name="_Toc103086343"/>
      <w:r>
        <w:rPr>
          <w:rFonts w:hint="eastAsia" w:ascii="楷体" w:hAnsi="楷体" w:eastAsia="楷体"/>
          <w:sz w:val="32"/>
          <w:szCs w:val="32"/>
        </w:rPr>
        <w:t>（五）部门预决算差异率</w:t>
      </w:r>
      <w:bookmarkEnd w:id="16"/>
    </w:p>
    <w:p>
      <w:pPr>
        <w:spacing w:line="360" w:lineRule="auto"/>
        <w:ind w:firstLine="640" w:firstLineChars="200"/>
        <w:rPr>
          <w:rFonts w:ascii="仿宋_GB2312" w:eastAsia="仿宋_GB2312"/>
          <w:sz w:val="32"/>
          <w:szCs w:val="32"/>
        </w:rPr>
      </w:pPr>
      <w:r>
        <w:rPr>
          <w:rFonts w:hint="eastAsia" w:ascii="仿宋_GB2312" w:eastAsia="仿宋_GB2312"/>
          <w:sz w:val="32"/>
          <w:szCs w:val="32"/>
        </w:rPr>
        <w:t>1.市福利中心2021年度</w:t>
      </w:r>
      <w:r>
        <w:rPr>
          <w:rFonts w:hint="eastAsia" w:ascii="仿宋_GB2312" w:hAnsi="仿宋" w:eastAsia="仿宋_GB2312"/>
          <w:sz w:val="32"/>
          <w:szCs w:val="32"/>
        </w:rPr>
        <w:t>预、决算金额及差异情况详见下表：                                   单位：万元</w:t>
      </w:r>
    </w:p>
    <w:tbl>
      <w:tblPr>
        <w:tblStyle w:val="11"/>
        <w:tblW w:w="1143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647"/>
        <w:gridCol w:w="1872"/>
        <w:gridCol w:w="2552"/>
        <w:gridCol w:w="1823"/>
        <w:gridCol w:w="15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jc w:val="center"/>
        </w:trPr>
        <w:tc>
          <w:tcPr>
            <w:tcW w:w="3647" w:type="dxa"/>
            <w:vMerge w:val="restart"/>
            <w:tcBorders>
              <w:top w:val="single" w:color="000000" w:sz="8" w:space="0"/>
              <w:left w:val="single" w:color="000000" w:sz="8" w:space="0"/>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指    标</w:t>
            </w:r>
          </w:p>
        </w:tc>
        <w:tc>
          <w:tcPr>
            <w:tcW w:w="1872" w:type="dxa"/>
            <w:vMerge w:val="restart"/>
            <w:tcBorders>
              <w:top w:val="single" w:color="000000" w:sz="8" w:space="0"/>
              <w:left w:val="single" w:color="000000" w:sz="8" w:space="0"/>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年初预算批复</w:t>
            </w:r>
          </w:p>
        </w:tc>
        <w:tc>
          <w:tcPr>
            <w:tcW w:w="2552" w:type="dxa"/>
            <w:vMerge w:val="restart"/>
            <w:tcBorders>
              <w:top w:val="single" w:color="000000" w:sz="8" w:space="0"/>
              <w:left w:val="single" w:color="000000" w:sz="8" w:space="0"/>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决算数</w:t>
            </w:r>
          </w:p>
        </w:tc>
        <w:tc>
          <w:tcPr>
            <w:tcW w:w="1823" w:type="dxa"/>
            <w:vMerge w:val="restart"/>
            <w:tcBorders>
              <w:top w:val="single" w:color="000000" w:sz="8" w:space="0"/>
              <w:left w:val="single" w:color="000000" w:sz="8" w:space="0"/>
              <w:bottom w:val="single" w:color="000000" w:sz="8" w:space="0"/>
              <w:right w:val="single" w:color="000000" w:sz="8" w:space="0"/>
            </w:tcBorders>
            <w:vAlign w:val="center"/>
          </w:tcPr>
          <w:p>
            <w:pPr>
              <w:widowControl/>
              <w:spacing w:line="360" w:lineRule="auto"/>
              <w:ind w:right="-134" w:rightChars="-64"/>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决算比预算数</w:t>
            </w:r>
          </w:p>
          <w:p>
            <w:pPr>
              <w:widowControl/>
              <w:spacing w:line="360" w:lineRule="auto"/>
              <w:ind w:right="-134" w:rightChars="-64"/>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增减</w:t>
            </w:r>
          </w:p>
        </w:tc>
        <w:tc>
          <w:tcPr>
            <w:tcW w:w="1536" w:type="dxa"/>
            <w:vMerge w:val="restart"/>
            <w:tcBorders>
              <w:top w:val="single" w:color="000000" w:sz="8" w:space="0"/>
              <w:left w:val="single" w:color="000000" w:sz="8" w:space="0"/>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增减％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4" w:hRule="atLeast"/>
          <w:jc w:val="center"/>
        </w:trPr>
        <w:tc>
          <w:tcPr>
            <w:tcW w:w="3647" w:type="dxa"/>
            <w:vMerge w:val="continue"/>
            <w:tcBorders>
              <w:top w:val="single" w:color="000000" w:sz="8" w:space="0"/>
              <w:left w:val="single" w:color="000000" w:sz="8" w:space="0"/>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000000"/>
                <w:kern w:val="0"/>
                <w:sz w:val="24"/>
              </w:rPr>
            </w:pPr>
          </w:p>
        </w:tc>
        <w:tc>
          <w:tcPr>
            <w:tcW w:w="1872" w:type="dxa"/>
            <w:vMerge w:val="continue"/>
            <w:tcBorders>
              <w:top w:val="single" w:color="000000" w:sz="8" w:space="0"/>
              <w:left w:val="single" w:color="000000" w:sz="8" w:space="0"/>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000000"/>
                <w:kern w:val="0"/>
                <w:sz w:val="24"/>
              </w:rPr>
            </w:pPr>
          </w:p>
        </w:tc>
        <w:tc>
          <w:tcPr>
            <w:tcW w:w="2552" w:type="dxa"/>
            <w:vMerge w:val="continue"/>
            <w:tcBorders>
              <w:top w:val="single" w:color="000000" w:sz="8" w:space="0"/>
              <w:left w:val="single" w:color="000000" w:sz="8" w:space="0"/>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000000"/>
                <w:kern w:val="0"/>
                <w:sz w:val="24"/>
              </w:rPr>
            </w:pPr>
          </w:p>
        </w:tc>
        <w:tc>
          <w:tcPr>
            <w:tcW w:w="1823" w:type="dxa"/>
            <w:vMerge w:val="continue"/>
            <w:tcBorders>
              <w:top w:val="single" w:color="000000" w:sz="8" w:space="0"/>
              <w:left w:val="single" w:color="000000" w:sz="8" w:space="0"/>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000000"/>
                <w:kern w:val="0"/>
                <w:sz w:val="24"/>
              </w:rPr>
            </w:pPr>
          </w:p>
        </w:tc>
        <w:tc>
          <w:tcPr>
            <w:tcW w:w="1536" w:type="dxa"/>
            <w:vMerge w:val="continue"/>
            <w:tcBorders>
              <w:top w:val="single" w:color="000000" w:sz="8" w:space="0"/>
              <w:left w:val="single" w:color="000000" w:sz="8" w:space="0"/>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000000"/>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jc w:val="center"/>
        </w:trPr>
        <w:tc>
          <w:tcPr>
            <w:tcW w:w="3647" w:type="dxa"/>
            <w:tcBorders>
              <w:top w:val="nil"/>
              <w:left w:val="single" w:color="000000" w:sz="8" w:space="0"/>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1.本年收入</w:t>
            </w:r>
          </w:p>
        </w:tc>
        <w:tc>
          <w:tcPr>
            <w:tcW w:w="1872" w:type="dxa"/>
            <w:tcBorders>
              <w:top w:val="nil"/>
              <w:left w:val="nil"/>
              <w:bottom w:val="single" w:color="000000" w:sz="8" w:space="0"/>
              <w:right w:val="single" w:color="000000" w:sz="8" w:space="0"/>
            </w:tcBorders>
            <w:vAlign w:val="center"/>
          </w:tcPr>
          <w:p>
            <w:pPr>
              <w:spacing w:line="360" w:lineRule="auto"/>
              <w:jc w:val="center"/>
              <w:rPr>
                <w:rFonts w:ascii="仿宋_GB2312" w:eastAsia="仿宋_GB2312"/>
                <w:color w:val="000000"/>
                <w:sz w:val="24"/>
              </w:rPr>
            </w:pPr>
            <w:r>
              <w:rPr>
                <w:rFonts w:hint="eastAsia" w:ascii="仿宋_GB2312" w:eastAsia="仿宋_GB2312"/>
                <w:color w:val="000000"/>
                <w:sz w:val="24"/>
              </w:rPr>
              <w:t>158,575.81</w:t>
            </w:r>
          </w:p>
        </w:tc>
        <w:tc>
          <w:tcPr>
            <w:tcW w:w="2552" w:type="dxa"/>
            <w:tcBorders>
              <w:top w:val="nil"/>
              <w:left w:val="nil"/>
              <w:bottom w:val="single" w:color="000000" w:sz="8" w:space="0"/>
              <w:right w:val="single" w:color="000000" w:sz="8" w:space="0"/>
            </w:tcBorders>
            <w:vAlign w:val="center"/>
          </w:tcPr>
          <w:p>
            <w:pPr>
              <w:spacing w:line="360" w:lineRule="auto"/>
              <w:jc w:val="center"/>
              <w:rPr>
                <w:rFonts w:ascii="仿宋_GB2312" w:eastAsia="仿宋_GB2312"/>
                <w:color w:val="000000"/>
                <w:sz w:val="24"/>
              </w:rPr>
            </w:pPr>
            <w:r>
              <w:rPr>
                <w:rFonts w:hint="eastAsia" w:ascii="仿宋_GB2312" w:eastAsia="仿宋_GB2312"/>
                <w:color w:val="000000"/>
                <w:sz w:val="24"/>
              </w:rPr>
              <w:t>114,583.15</w:t>
            </w:r>
          </w:p>
        </w:tc>
        <w:tc>
          <w:tcPr>
            <w:tcW w:w="1823" w:type="dxa"/>
            <w:tcBorders>
              <w:top w:val="nil"/>
              <w:left w:val="nil"/>
              <w:bottom w:val="single" w:color="000000" w:sz="8" w:space="0"/>
              <w:right w:val="single" w:color="000000" w:sz="8" w:space="0"/>
            </w:tcBorders>
            <w:vAlign w:val="center"/>
          </w:tcPr>
          <w:p>
            <w:pPr>
              <w:spacing w:line="360" w:lineRule="auto"/>
              <w:jc w:val="center"/>
              <w:rPr>
                <w:rFonts w:ascii="仿宋_GB2312" w:eastAsia="仿宋_GB2312"/>
                <w:color w:val="000000"/>
                <w:sz w:val="24"/>
              </w:rPr>
            </w:pPr>
            <w:r>
              <w:rPr>
                <w:rFonts w:hint="eastAsia" w:ascii="仿宋_GB2312" w:eastAsia="仿宋_GB2312"/>
                <w:color w:val="000000"/>
                <w:sz w:val="24"/>
              </w:rPr>
              <w:t>-43,992.66</w:t>
            </w:r>
          </w:p>
        </w:tc>
        <w:tc>
          <w:tcPr>
            <w:tcW w:w="1536" w:type="dxa"/>
            <w:tcBorders>
              <w:top w:val="nil"/>
              <w:left w:val="nil"/>
              <w:bottom w:val="single" w:color="000000" w:sz="8" w:space="0"/>
              <w:right w:val="single" w:color="000000" w:sz="8" w:space="0"/>
            </w:tcBorders>
            <w:vAlign w:val="center"/>
          </w:tcPr>
          <w:p>
            <w:pPr>
              <w:widowControl/>
              <w:spacing w:line="360" w:lineRule="auto"/>
              <w:jc w:val="center"/>
              <w:rPr>
                <w:rFonts w:ascii="仿宋_GB2312" w:eastAsia="仿宋_GB2312"/>
                <w:color w:val="000000"/>
                <w:kern w:val="0"/>
                <w:sz w:val="24"/>
              </w:rPr>
            </w:pPr>
            <w:r>
              <w:rPr>
                <w:rFonts w:hint="eastAsia" w:ascii="仿宋_GB2312" w:eastAsia="仿宋_GB2312"/>
                <w:color w:val="000000"/>
                <w:kern w:val="0"/>
                <w:sz w:val="24"/>
              </w:rPr>
              <w:t>-27.74%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jc w:val="center"/>
        </w:trPr>
        <w:tc>
          <w:tcPr>
            <w:tcW w:w="3647" w:type="dxa"/>
            <w:tcBorders>
              <w:top w:val="nil"/>
              <w:left w:val="single" w:color="000000" w:sz="8" w:space="0"/>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其中：一般公共预算财政拨款</w:t>
            </w:r>
          </w:p>
        </w:tc>
        <w:tc>
          <w:tcPr>
            <w:tcW w:w="1872" w:type="dxa"/>
            <w:tcBorders>
              <w:top w:val="nil"/>
              <w:left w:val="nil"/>
              <w:bottom w:val="single" w:color="000000" w:sz="8" w:space="0"/>
              <w:right w:val="single" w:color="000000" w:sz="8" w:space="0"/>
            </w:tcBorders>
            <w:vAlign w:val="center"/>
          </w:tcPr>
          <w:p>
            <w:pPr>
              <w:spacing w:line="360" w:lineRule="auto"/>
              <w:jc w:val="center"/>
              <w:rPr>
                <w:rFonts w:ascii="仿宋_GB2312" w:eastAsia="仿宋_GB2312"/>
                <w:color w:val="000000"/>
                <w:sz w:val="24"/>
              </w:rPr>
            </w:pPr>
            <w:r>
              <w:rPr>
                <w:rFonts w:hint="eastAsia" w:ascii="仿宋_GB2312" w:eastAsia="仿宋_GB2312"/>
                <w:color w:val="000000"/>
                <w:sz w:val="24"/>
              </w:rPr>
              <w:t>71,155.35</w:t>
            </w:r>
          </w:p>
        </w:tc>
        <w:tc>
          <w:tcPr>
            <w:tcW w:w="2552" w:type="dxa"/>
            <w:tcBorders>
              <w:top w:val="nil"/>
              <w:left w:val="nil"/>
              <w:bottom w:val="single" w:color="000000" w:sz="8" w:space="0"/>
              <w:right w:val="single" w:color="000000" w:sz="8" w:space="0"/>
            </w:tcBorders>
            <w:vAlign w:val="center"/>
          </w:tcPr>
          <w:p>
            <w:pPr>
              <w:spacing w:line="360" w:lineRule="auto"/>
              <w:jc w:val="center"/>
              <w:rPr>
                <w:rFonts w:ascii="仿宋_GB2312" w:eastAsia="仿宋_GB2312"/>
                <w:color w:val="000000"/>
                <w:sz w:val="24"/>
              </w:rPr>
            </w:pPr>
            <w:r>
              <w:rPr>
                <w:rFonts w:hint="eastAsia" w:ascii="仿宋_GB2312" w:eastAsia="仿宋_GB2312"/>
                <w:color w:val="000000"/>
                <w:sz w:val="24"/>
              </w:rPr>
              <w:t>74,158.86</w:t>
            </w:r>
          </w:p>
        </w:tc>
        <w:tc>
          <w:tcPr>
            <w:tcW w:w="1823" w:type="dxa"/>
            <w:tcBorders>
              <w:top w:val="nil"/>
              <w:left w:val="nil"/>
              <w:bottom w:val="single" w:color="000000" w:sz="8" w:space="0"/>
              <w:right w:val="single" w:color="000000" w:sz="8" w:space="0"/>
            </w:tcBorders>
            <w:vAlign w:val="center"/>
          </w:tcPr>
          <w:p>
            <w:pPr>
              <w:spacing w:line="360" w:lineRule="auto"/>
              <w:jc w:val="center"/>
              <w:rPr>
                <w:rFonts w:ascii="仿宋_GB2312" w:eastAsia="仿宋_GB2312"/>
                <w:color w:val="000000"/>
                <w:sz w:val="24"/>
              </w:rPr>
            </w:pPr>
            <w:r>
              <w:rPr>
                <w:rFonts w:hint="eastAsia" w:ascii="仿宋_GB2312" w:eastAsia="仿宋_GB2312"/>
                <w:color w:val="000000"/>
                <w:sz w:val="24"/>
              </w:rPr>
              <w:t>3,003.51</w:t>
            </w:r>
          </w:p>
        </w:tc>
        <w:tc>
          <w:tcPr>
            <w:tcW w:w="1536" w:type="dxa"/>
            <w:tcBorders>
              <w:top w:val="nil"/>
              <w:left w:val="nil"/>
              <w:bottom w:val="single" w:color="000000" w:sz="8" w:space="0"/>
              <w:right w:val="single" w:color="000000" w:sz="8" w:space="0"/>
            </w:tcBorders>
            <w:vAlign w:val="center"/>
          </w:tcPr>
          <w:p>
            <w:pPr>
              <w:widowControl/>
              <w:spacing w:line="360" w:lineRule="auto"/>
              <w:jc w:val="center"/>
              <w:rPr>
                <w:rFonts w:ascii="仿宋_GB2312" w:eastAsia="仿宋_GB2312"/>
                <w:color w:val="000000"/>
                <w:kern w:val="0"/>
                <w:sz w:val="24"/>
              </w:rPr>
            </w:pPr>
            <w:r>
              <w:rPr>
                <w:rFonts w:hint="eastAsia" w:ascii="仿宋_GB2312" w:eastAsia="仿宋_GB2312"/>
                <w:color w:val="000000"/>
                <w:kern w:val="0"/>
                <w:sz w:val="24"/>
              </w:rPr>
              <w:t>4.22%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jc w:val="center"/>
        </w:trPr>
        <w:tc>
          <w:tcPr>
            <w:tcW w:w="3647" w:type="dxa"/>
            <w:tcBorders>
              <w:top w:val="nil"/>
              <w:left w:val="single" w:color="000000" w:sz="8" w:space="0"/>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政府性基金预算财政拨款</w:t>
            </w:r>
          </w:p>
        </w:tc>
        <w:tc>
          <w:tcPr>
            <w:tcW w:w="1872" w:type="dxa"/>
            <w:tcBorders>
              <w:top w:val="nil"/>
              <w:left w:val="nil"/>
              <w:bottom w:val="single" w:color="000000" w:sz="8" w:space="0"/>
              <w:right w:val="single" w:color="000000" w:sz="8" w:space="0"/>
            </w:tcBorders>
            <w:vAlign w:val="center"/>
          </w:tcPr>
          <w:p>
            <w:pPr>
              <w:spacing w:line="360" w:lineRule="auto"/>
              <w:jc w:val="center"/>
              <w:rPr>
                <w:rFonts w:ascii="仿宋_GB2312" w:eastAsia="仿宋_GB2312"/>
                <w:color w:val="000000"/>
                <w:sz w:val="24"/>
              </w:rPr>
            </w:pPr>
            <w:r>
              <w:rPr>
                <w:rFonts w:hint="eastAsia" w:ascii="仿宋_GB2312" w:eastAsia="仿宋_GB2312"/>
                <w:color w:val="000000"/>
                <w:sz w:val="24"/>
              </w:rPr>
              <w:t>30.00</w:t>
            </w:r>
          </w:p>
        </w:tc>
        <w:tc>
          <w:tcPr>
            <w:tcW w:w="2552" w:type="dxa"/>
            <w:tcBorders>
              <w:top w:val="nil"/>
              <w:left w:val="nil"/>
              <w:bottom w:val="single" w:color="000000" w:sz="8" w:space="0"/>
              <w:right w:val="single" w:color="000000" w:sz="8" w:space="0"/>
            </w:tcBorders>
            <w:vAlign w:val="center"/>
          </w:tcPr>
          <w:p>
            <w:pPr>
              <w:spacing w:line="360" w:lineRule="auto"/>
              <w:jc w:val="center"/>
              <w:rPr>
                <w:rFonts w:ascii="仿宋_GB2312" w:eastAsia="仿宋_GB2312"/>
                <w:color w:val="000000"/>
                <w:sz w:val="24"/>
              </w:rPr>
            </w:pPr>
            <w:r>
              <w:rPr>
                <w:rFonts w:hint="eastAsia" w:ascii="仿宋_GB2312" w:eastAsia="仿宋_GB2312"/>
                <w:color w:val="000000"/>
                <w:sz w:val="24"/>
              </w:rPr>
              <w:t>60.27</w:t>
            </w:r>
          </w:p>
        </w:tc>
        <w:tc>
          <w:tcPr>
            <w:tcW w:w="1823" w:type="dxa"/>
            <w:tcBorders>
              <w:top w:val="nil"/>
              <w:left w:val="nil"/>
              <w:bottom w:val="single" w:color="000000" w:sz="8" w:space="0"/>
              <w:right w:val="single" w:color="000000" w:sz="8" w:space="0"/>
            </w:tcBorders>
            <w:vAlign w:val="center"/>
          </w:tcPr>
          <w:p>
            <w:pPr>
              <w:spacing w:line="360" w:lineRule="auto"/>
              <w:jc w:val="center"/>
              <w:rPr>
                <w:rFonts w:ascii="仿宋_GB2312" w:eastAsia="仿宋_GB2312"/>
                <w:color w:val="000000"/>
                <w:sz w:val="24"/>
              </w:rPr>
            </w:pPr>
            <w:r>
              <w:rPr>
                <w:rFonts w:hint="eastAsia" w:ascii="仿宋_GB2312" w:eastAsia="仿宋_GB2312"/>
                <w:color w:val="000000"/>
                <w:sz w:val="24"/>
              </w:rPr>
              <w:t>30.27</w:t>
            </w:r>
          </w:p>
        </w:tc>
        <w:tc>
          <w:tcPr>
            <w:tcW w:w="1536" w:type="dxa"/>
            <w:tcBorders>
              <w:top w:val="nil"/>
              <w:left w:val="nil"/>
              <w:bottom w:val="single" w:color="000000" w:sz="8" w:space="0"/>
              <w:right w:val="single" w:color="000000" w:sz="8" w:space="0"/>
            </w:tcBorders>
            <w:vAlign w:val="center"/>
          </w:tcPr>
          <w:p>
            <w:pPr>
              <w:widowControl/>
              <w:spacing w:line="360" w:lineRule="auto"/>
              <w:jc w:val="center"/>
              <w:rPr>
                <w:rFonts w:ascii="仿宋_GB2312" w:eastAsia="仿宋_GB2312"/>
                <w:color w:val="000000"/>
                <w:kern w:val="0"/>
                <w:sz w:val="24"/>
              </w:rPr>
            </w:pPr>
            <w:r>
              <w:rPr>
                <w:rFonts w:hint="eastAsia" w:ascii="仿宋_GB2312" w:eastAsia="仿宋_GB2312"/>
                <w:color w:val="000000"/>
                <w:kern w:val="0"/>
                <w:sz w:val="24"/>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jc w:val="center"/>
        </w:trPr>
        <w:tc>
          <w:tcPr>
            <w:tcW w:w="3647" w:type="dxa"/>
            <w:tcBorders>
              <w:top w:val="nil"/>
              <w:left w:val="single" w:color="000000" w:sz="8" w:space="0"/>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*事业收入</w:t>
            </w:r>
          </w:p>
        </w:tc>
        <w:tc>
          <w:tcPr>
            <w:tcW w:w="1872" w:type="dxa"/>
            <w:tcBorders>
              <w:top w:val="nil"/>
              <w:left w:val="nil"/>
              <w:bottom w:val="single" w:color="000000" w:sz="8" w:space="0"/>
              <w:right w:val="single" w:color="000000" w:sz="8" w:space="0"/>
            </w:tcBorders>
            <w:vAlign w:val="center"/>
          </w:tcPr>
          <w:p>
            <w:pPr>
              <w:spacing w:line="360" w:lineRule="auto"/>
              <w:jc w:val="center"/>
              <w:rPr>
                <w:rFonts w:ascii="仿宋_GB2312" w:eastAsia="仿宋_GB2312"/>
                <w:color w:val="000000"/>
                <w:sz w:val="24"/>
              </w:rPr>
            </w:pPr>
            <w:r>
              <w:rPr>
                <w:rFonts w:hint="eastAsia" w:ascii="仿宋_GB2312" w:eastAsia="仿宋_GB2312"/>
                <w:color w:val="000000"/>
                <w:sz w:val="24"/>
              </w:rPr>
              <w:t>14,944.84</w:t>
            </w:r>
          </w:p>
        </w:tc>
        <w:tc>
          <w:tcPr>
            <w:tcW w:w="2552" w:type="dxa"/>
            <w:tcBorders>
              <w:top w:val="nil"/>
              <w:left w:val="nil"/>
              <w:bottom w:val="single" w:color="000000" w:sz="8" w:space="0"/>
              <w:right w:val="single" w:color="000000" w:sz="8" w:space="0"/>
            </w:tcBorders>
            <w:vAlign w:val="center"/>
          </w:tcPr>
          <w:p>
            <w:pPr>
              <w:spacing w:line="360" w:lineRule="auto"/>
              <w:jc w:val="center"/>
              <w:rPr>
                <w:rFonts w:ascii="仿宋_GB2312" w:eastAsia="仿宋_GB2312"/>
                <w:color w:val="000000"/>
                <w:sz w:val="24"/>
              </w:rPr>
            </w:pPr>
            <w:r>
              <w:rPr>
                <w:rFonts w:hint="eastAsia" w:ascii="仿宋_GB2312" w:eastAsia="仿宋_GB2312"/>
                <w:color w:val="000000"/>
                <w:sz w:val="24"/>
              </w:rPr>
              <w:t>13,906.49</w:t>
            </w:r>
          </w:p>
        </w:tc>
        <w:tc>
          <w:tcPr>
            <w:tcW w:w="1823" w:type="dxa"/>
            <w:tcBorders>
              <w:top w:val="nil"/>
              <w:left w:val="nil"/>
              <w:bottom w:val="single" w:color="000000" w:sz="8" w:space="0"/>
              <w:right w:val="single" w:color="000000" w:sz="8" w:space="0"/>
            </w:tcBorders>
            <w:vAlign w:val="center"/>
          </w:tcPr>
          <w:p>
            <w:pPr>
              <w:spacing w:line="360" w:lineRule="auto"/>
              <w:jc w:val="center"/>
              <w:rPr>
                <w:rFonts w:ascii="仿宋_GB2312" w:eastAsia="仿宋_GB2312"/>
                <w:color w:val="000000"/>
                <w:sz w:val="24"/>
              </w:rPr>
            </w:pPr>
            <w:r>
              <w:rPr>
                <w:rFonts w:hint="eastAsia" w:ascii="仿宋_GB2312" w:eastAsia="仿宋_GB2312"/>
                <w:color w:val="000000"/>
                <w:sz w:val="24"/>
              </w:rPr>
              <w:t>-1,038.35</w:t>
            </w:r>
          </w:p>
        </w:tc>
        <w:tc>
          <w:tcPr>
            <w:tcW w:w="1536" w:type="dxa"/>
            <w:tcBorders>
              <w:top w:val="nil"/>
              <w:left w:val="nil"/>
              <w:bottom w:val="single" w:color="000000" w:sz="8" w:space="0"/>
              <w:right w:val="single" w:color="000000" w:sz="8" w:space="0"/>
            </w:tcBorders>
            <w:vAlign w:val="center"/>
          </w:tcPr>
          <w:p>
            <w:pPr>
              <w:widowControl/>
              <w:spacing w:line="360" w:lineRule="auto"/>
              <w:jc w:val="center"/>
              <w:rPr>
                <w:rFonts w:ascii="仿宋_GB2312" w:eastAsia="仿宋_GB2312"/>
                <w:color w:val="000000"/>
                <w:kern w:val="0"/>
                <w:sz w:val="24"/>
              </w:rPr>
            </w:pPr>
            <w:r>
              <w:rPr>
                <w:rFonts w:hint="eastAsia" w:ascii="仿宋_GB2312" w:eastAsia="仿宋_GB2312"/>
                <w:color w:val="000000"/>
                <w:kern w:val="0"/>
                <w:sz w:val="24"/>
              </w:rPr>
              <w:t>-6.95%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jc w:val="center"/>
        </w:trPr>
        <w:tc>
          <w:tcPr>
            <w:tcW w:w="3647" w:type="dxa"/>
            <w:tcBorders>
              <w:top w:val="nil"/>
              <w:left w:val="single" w:color="000000" w:sz="8" w:space="0"/>
              <w:bottom w:val="single" w:color="000000" w:sz="8" w:space="0"/>
              <w:right w:val="single" w:color="000000" w:sz="8" w:space="0"/>
            </w:tcBorders>
            <w:vAlign w:val="center"/>
          </w:tcPr>
          <w:p>
            <w:pPr>
              <w:widowControl/>
              <w:spacing w:line="360" w:lineRule="auto"/>
              <w:ind w:right="-164" w:rightChars="-78"/>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经营收入</w:t>
            </w:r>
          </w:p>
        </w:tc>
        <w:tc>
          <w:tcPr>
            <w:tcW w:w="1872" w:type="dxa"/>
            <w:tcBorders>
              <w:top w:val="nil"/>
              <w:left w:val="nil"/>
              <w:bottom w:val="single" w:color="000000" w:sz="8" w:space="0"/>
              <w:right w:val="single" w:color="000000" w:sz="8" w:space="0"/>
            </w:tcBorders>
            <w:vAlign w:val="center"/>
          </w:tcPr>
          <w:p>
            <w:pPr>
              <w:spacing w:line="360" w:lineRule="auto"/>
              <w:jc w:val="center"/>
              <w:rPr>
                <w:rFonts w:ascii="仿宋_GB2312" w:eastAsia="仿宋_GB2312"/>
                <w:color w:val="000000"/>
                <w:sz w:val="24"/>
              </w:rPr>
            </w:pPr>
            <w:r>
              <w:rPr>
                <w:rFonts w:hint="eastAsia" w:ascii="仿宋_GB2312" w:eastAsia="仿宋_GB2312"/>
                <w:color w:val="000000"/>
                <w:sz w:val="24"/>
              </w:rPr>
              <w:t>67,764.19</w:t>
            </w:r>
          </w:p>
        </w:tc>
        <w:tc>
          <w:tcPr>
            <w:tcW w:w="2552" w:type="dxa"/>
            <w:tcBorders>
              <w:top w:val="nil"/>
              <w:left w:val="nil"/>
              <w:bottom w:val="single" w:color="000000" w:sz="8" w:space="0"/>
              <w:right w:val="single" w:color="000000" w:sz="8" w:space="0"/>
            </w:tcBorders>
            <w:vAlign w:val="center"/>
          </w:tcPr>
          <w:p>
            <w:pPr>
              <w:spacing w:line="360" w:lineRule="auto"/>
              <w:jc w:val="center"/>
              <w:rPr>
                <w:rFonts w:ascii="仿宋_GB2312" w:eastAsia="仿宋_GB2312"/>
                <w:color w:val="000000"/>
                <w:sz w:val="24"/>
              </w:rPr>
            </w:pPr>
            <w:r>
              <w:rPr>
                <w:rFonts w:hint="eastAsia" w:ascii="仿宋_GB2312" w:eastAsia="仿宋_GB2312"/>
                <w:color w:val="000000"/>
                <w:sz w:val="24"/>
              </w:rPr>
              <w:t>23,195.63</w:t>
            </w:r>
          </w:p>
        </w:tc>
        <w:tc>
          <w:tcPr>
            <w:tcW w:w="1823" w:type="dxa"/>
            <w:tcBorders>
              <w:top w:val="nil"/>
              <w:left w:val="nil"/>
              <w:bottom w:val="single" w:color="000000" w:sz="8" w:space="0"/>
              <w:right w:val="single" w:color="000000" w:sz="8" w:space="0"/>
            </w:tcBorders>
            <w:vAlign w:val="center"/>
          </w:tcPr>
          <w:p>
            <w:pPr>
              <w:spacing w:line="360" w:lineRule="auto"/>
              <w:jc w:val="center"/>
              <w:rPr>
                <w:rFonts w:ascii="仿宋_GB2312" w:eastAsia="仿宋_GB2312"/>
                <w:color w:val="000000"/>
                <w:sz w:val="24"/>
              </w:rPr>
            </w:pPr>
            <w:r>
              <w:rPr>
                <w:rFonts w:hint="eastAsia" w:ascii="仿宋_GB2312" w:eastAsia="仿宋_GB2312"/>
                <w:color w:val="000000"/>
                <w:sz w:val="24"/>
              </w:rPr>
              <w:t>-44,568.55</w:t>
            </w:r>
          </w:p>
        </w:tc>
        <w:tc>
          <w:tcPr>
            <w:tcW w:w="1536" w:type="dxa"/>
            <w:tcBorders>
              <w:top w:val="nil"/>
              <w:left w:val="nil"/>
              <w:bottom w:val="single" w:color="000000" w:sz="8" w:space="0"/>
              <w:right w:val="single" w:color="000000" w:sz="8" w:space="0"/>
            </w:tcBorders>
            <w:vAlign w:val="center"/>
          </w:tcPr>
          <w:p>
            <w:pPr>
              <w:widowControl/>
              <w:spacing w:line="360" w:lineRule="auto"/>
              <w:jc w:val="center"/>
              <w:rPr>
                <w:rFonts w:ascii="仿宋_GB2312" w:eastAsia="仿宋_GB2312"/>
                <w:color w:val="000000"/>
                <w:kern w:val="0"/>
                <w:sz w:val="24"/>
              </w:rPr>
            </w:pPr>
            <w:r>
              <w:rPr>
                <w:rFonts w:hint="eastAsia" w:ascii="仿宋_GB2312" w:eastAsia="仿宋_GB2312"/>
                <w:color w:val="000000"/>
                <w:kern w:val="0"/>
                <w:sz w:val="24"/>
              </w:rPr>
              <w:t>-65.77%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jc w:val="center"/>
        </w:trPr>
        <w:tc>
          <w:tcPr>
            <w:tcW w:w="3647" w:type="dxa"/>
            <w:tcBorders>
              <w:top w:val="nil"/>
              <w:left w:val="single" w:color="000000" w:sz="8" w:space="0"/>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*其他收入</w:t>
            </w:r>
          </w:p>
        </w:tc>
        <w:tc>
          <w:tcPr>
            <w:tcW w:w="1872" w:type="dxa"/>
            <w:tcBorders>
              <w:top w:val="nil"/>
              <w:left w:val="nil"/>
              <w:bottom w:val="single" w:color="000000" w:sz="8" w:space="0"/>
              <w:right w:val="single" w:color="000000" w:sz="8" w:space="0"/>
            </w:tcBorders>
            <w:vAlign w:val="center"/>
          </w:tcPr>
          <w:p>
            <w:pPr>
              <w:spacing w:line="360" w:lineRule="auto"/>
              <w:jc w:val="center"/>
              <w:rPr>
                <w:rFonts w:ascii="仿宋_GB2312" w:eastAsia="仿宋_GB2312"/>
                <w:color w:val="000000"/>
                <w:sz w:val="24"/>
              </w:rPr>
            </w:pPr>
            <w:r>
              <w:rPr>
                <w:rFonts w:hint="eastAsia" w:ascii="仿宋_GB2312" w:eastAsia="仿宋_GB2312"/>
                <w:color w:val="000000"/>
                <w:sz w:val="24"/>
              </w:rPr>
              <w:t>681.43</w:t>
            </w:r>
          </w:p>
        </w:tc>
        <w:tc>
          <w:tcPr>
            <w:tcW w:w="2552" w:type="dxa"/>
            <w:tcBorders>
              <w:top w:val="nil"/>
              <w:left w:val="nil"/>
              <w:bottom w:val="single" w:color="000000" w:sz="8" w:space="0"/>
              <w:right w:val="single" w:color="000000" w:sz="8" w:space="0"/>
            </w:tcBorders>
            <w:vAlign w:val="center"/>
          </w:tcPr>
          <w:p>
            <w:pPr>
              <w:spacing w:line="360" w:lineRule="auto"/>
              <w:jc w:val="center"/>
              <w:rPr>
                <w:rFonts w:ascii="仿宋_GB2312" w:eastAsia="仿宋_GB2312"/>
                <w:color w:val="000000"/>
                <w:sz w:val="24"/>
              </w:rPr>
            </w:pPr>
            <w:r>
              <w:rPr>
                <w:rFonts w:hint="eastAsia" w:ascii="仿宋_GB2312" w:eastAsia="仿宋_GB2312"/>
                <w:color w:val="000000"/>
                <w:sz w:val="24"/>
              </w:rPr>
              <w:t>1,261.89</w:t>
            </w:r>
          </w:p>
        </w:tc>
        <w:tc>
          <w:tcPr>
            <w:tcW w:w="1823" w:type="dxa"/>
            <w:tcBorders>
              <w:top w:val="nil"/>
              <w:left w:val="nil"/>
              <w:bottom w:val="single" w:color="000000" w:sz="8" w:space="0"/>
              <w:right w:val="single" w:color="000000" w:sz="8" w:space="0"/>
            </w:tcBorders>
            <w:vAlign w:val="center"/>
          </w:tcPr>
          <w:p>
            <w:pPr>
              <w:spacing w:line="360" w:lineRule="auto"/>
              <w:jc w:val="center"/>
              <w:rPr>
                <w:rFonts w:ascii="仿宋_GB2312" w:eastAsia="仿宋_GB2312"/>
                <w:color w:val="000000"/>
                <w:sz w:val="24"/>
              </w:rPr>
            </w:pPr>
            <w:r>
              <w:rPr>
                <w:rFonts w:hint="eastAsia" w:ascii="仿宋_GB2312" w:eastAsia="仿宋_GB2312"/>
                <w:color w:val="000000"/>
                <w:sz w:val="24"/>
              </w:rPr>
              <w:t>580.47</w:t>
            </w:r>
          </w:p>
        </w:tc>
        <w:tc>
          <w:tcPr>
            <w:tcW w:w="1536" w:type="dxa"/>
            <w:tcBorders>
              <w:top w:val="nil"/>
              <w:left w:val="nil"/>
              <w:bottom w:val="single" w:color="000000" w:sz="8" w:space="0"/>
              <w:right w:val="single" w:color="000000" w:sz="8" w:space="0"/>
            </w:tcBorders>
            <w:vAlign w:val="center"/>
          </w:tcPr>
          <w:p>
            <w:pPr>
              <w:widowControl/>
              <w:spacing w:line="360" w:lineRule="auto"/>
              <w:jc w:val="center"/>
              <w:rPr>
                <w:rFonts w:ascii="仿宋_GB2312" w:eastAsia="仿宋_GB2312"/>
                <w:color w:val="000000"/>
                <w:kern w:val="0"/>
                <w:sz w:val="24"/>
              </w:rPr>
            </w:pPr>
            <w:r>
              <w:rPr>
                <w:rFonts w:hint="eastAsia" w:ascii="仿宋_GB2312" w:eastAsia="仿宋_GB2312"/>
                <w:color w:val="000000"/>
                <w:kern w:val="0"/>
                <w:sz w:val="24"/>
              </w:rPr>
              <w:t>85.18%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jc w:val="center"/>
        </w:trPr>
        <w:tc>
          <w:tcPr>
            <w:tcW w:w="3647" w:type="dxa"/>
            <w:tcBorders>
              <w:top w:val="nil"/>
              <w:left w:val="single" w:color="000000" w:sz="8" w:space="0"/>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2.本年支出</w:t>
            </w:r>
          </w:p>
        </w:tc>
        <w:tc>
          <w:tcPr>
            <w:tcW w:w="1872" w:type="dxa"/>
            <w:tcBorders>
              <w:top w:val="nil"/>
              <w:left w:val="nil"/>
              <w:bottom w:val="single" w:color="000000" w:sz="8" w:space="0"/>
              <w:right w:val="single" w:color="000000" w:sz="8" w:space="0"/>
            </w:tcBorders>
            <w:vAlign w:val="center"/>
          </w:tcPr>
          <w:p>
            <w:pPr>
              <w:spacing w:line="360" w:lineRule="auto"/>
              <w:jc w:val="center"/>
              <w:rPr>
                <w:rFonts w:ascii="仿宋_GB2312" w:eastAsia="仿宋_GB2312"/>
                <w:color w:val="000000"/>
                <w:sz w:val="24"/>
              </w:rPr>
            </w:pPr>
            <w:r>
              <w:rPr>
                <w:rFonts w:hint="eastAsia" w:ascii="仿宋_GB2312" w:eastAsia="仿宋_GB2312"/>
                <w:color w:val="000000"/>
                <w:sz w:val="24"/>
              </w:rPr>
              <w:t>169,812.67</w:t>
            </w:r>
          </w:p>
        </w:tc>
        <w:tc>
          <w:tcPr>
            <w:tcW w:w="2552" w:type="dxa"/>
            <w:tcBorders>
              <w:top w:val="nil"/>
              <w:left w:val="nil"/>
              <w:bottom w:val="single" w:color="000000" w:sz="8" w:space="0"/>
              <w:right w:val="single" w:color="000000" w:sz="8" w:space="0"/>
            </w:tcBorders>
            <w:vAlign w:val="center"/>
          </w:tcPr>
          <w:p>
            <w:pPr>
              <w:spacing w:line="360" w:lineRule="auto"/>
              <w:jc w:val="center"/>
              <w:rPr>
                <w:rFonts w:ascii="仿宋_GB2312" w:eastAsia="仿宋_GB2312"/>
                <w:color w:val="000000"/>
                <w:sz w:val="24"/>
              </w:rPr>
            </w:pPr>
            <w:r>
              <w:rPr>
                <w:rFonts w:hint="eastAsia" w:ascii="仿宋_GB2312" w:eastAsia="仿宋_GB2312"/>
                <w:color w:val="000000"/>
                <w:sz w:val="24"/>
              </w:rPr>
              <w:t>115227.05</w:t>
            </w:r>
          </w:p>
        </w:tc>
        <w:tc>
          <w:tcPr>
            <w:tcW w:w="1823" w:type="dxa"/>
            <w:tcBorders>
              <w:top w:val="nil"/>
              <w:left w:val="nil"/>
              <w:bottom w:val="single" w:color="000000" w:sz="8" w:space="0"/>
              <w:right w:val="single" w:color="000000" w:sz="8" w:space="0"/>
            </w:tcBorders>
            <w:vAlign w:val="center"/>
          </w:tcPr>
          <w:p>
            <w:pPr>
              <w:spacing w:line="360" w:lineRule="auto"/>
              <w:jc w:val="center"/>
              <w:rPr>
                <w:rFonts w:ascii="仿宋_GB2312" w:eastAsia="仿宋_GB2312"/>
                <w:color w:val="000000"/>
                <w:sz w:val="24"/>
              </w:rPr>
            </w:pPr>
            <w:r>
              <w:rPr>
                <w:rFonts w:hint="eastAsia" w:ascii="仿宋_GB2312" w:eastAsia="仿宋_GB2312"/>
                <w:color w:val="000000"/>
                <w:sz w:val="24"/>
              </w:rPr>
              <w:t>-64,693.40</w:t>
            </w:r>
          </w:p>
        </w:tc>
        <w:tc>
          <w:tcPr>
            <w:tcW w:w="1536" w:type="dxa"/>
            <w:tcBorders>
              <w:top w:val="nil"/>
              <w:left w:val="nil"/>
              <w:bottom w:val="single" w:color="000000" w:sz="8" w:space="0"/>
              <w:right w:val="single" w:color="000000" w:sz="8" w:space="0"/>
            </w:tcBorders>
            <w:vAlign w:val="center"/>
          </w:tcPr>
          <w:p>
            <w:pPr>
              <w:widowControl/>
              <w:spacing w:line="360" w:lineRule="auto"/>
              <w:jc w:val="center"/>
              <w:rPr>
                <w:rFonts w:ascii="仿宋_GB2312" w:eastAsia="仿宋_GB2312"/>
                <w:color w:val="000000"/>
                <w:kern w:val="0"/>
                <w:sz w:val="24"/>
              </w:rPr>
            </w:pPr>
            <w:r>
              <w:rPr>
                <w:rFonts w:hint="eastAsia" w:ascii="仿宋_GB2312" w:eastAsia="仿宋_GB2312"/>
                <w:color w:val="000000"/>
                <w:kern w:val="0"/>
                <w:sz w:val="24"/>
              </w:rPr>
              <w:t>-38.10%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jc w:val="center"/>
        </w:trPr>
        <w:tc>
          <w:tcPr>
            <w:tcW w:w="3647" w:type="dxa"/>
            <w:tcBorders>
              <w:top w:val="nil"/>
              <w:left w:val="single" w:color="000000" w:sz="8" w:space="0"/>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其中：基本支出</w:t>
            </w:r>
          </w:p>
        </w:tc>
        <w:tc>
          <w:tcPr>
            <w:tcW w:w="1872" w:type="dxa"/>
            <w:tcBorders>
              <w:top w:val="nil"/>
              <w:left w:val="nil"/>
              <w:bottom w:val="single" w:color="000000" w:sz="8" w:space="0"/>
              <w:right w:val="single" w:color="000000" w:sz="8" w:space="0"/>
            </w:tcBorders>
            <w:vAlign w:val="center"/>
          </w:tcPr>
          <w:p>
            <w:pPr>
              <w:spacing w:line="360" w:lineRule="auto"/>
              <w:jc w:val="center"/>
              <w:rPr>
                <w:rFonts w:ascii="仿宋_GB2312" w:eastAsia="仿宋_GB2312"/>
                <w:color w:val="000000"/>
                <w:sz w:val="24"/>
              </w:rPr>
            </w:pPr>
            <w:r>
              <w:rPr>
                <w:rFonts w:hint="eastAsia" w:ascii="仿宋_GB2312" w:eastAsia="仿宋_GB2312"/>
                <w:color w:val="000000"/>
                <w:sz w:val="24"/>
              </w:rPr>
              <w:t>69,780.71</w:t>
            </w:r>
          </w:p>
        </w:tc>
        <w:tc>
          <w:tcPr>
            <w:tcW w:w="2552" w:type="dxa"/>
            <w:tcBorders>
              <w:top w:val="nil"/>
              <w:left w:val="nil"/>
              <w:bottom w:val="single" w:color="000000" w:sz="8" w:space="0"/>
              <w:right w:val="single" w:color="000000" w:sz="8" w:space="0"/>
            </w:tcBorders>
            <w:vAlign w:val="center"/>
          </w:tcPr>
          <w:p>
            <w:pPr>
              <w:spacing w:line="360" w:lineRule="auto"/>
              <w:jc w:val="center"/>
              <w:rPr>
                <w:rFonts w:ascii="仿宋_GB2312" w:eastAsia="仿宋_GB2312"/>
                <w:color w:val="000000"/>
                <w:sz w:val="24"/>
              </w:rPr>
            </w:pPr>
            <w:r>
              <w:rPr>
                <w:rFonts w:hint="eastAsia" w:ascii="仿宋_GB2312" w:eastAsia="仿宋_GB2312"/>
                <w:color w:val="000000"/>
                <w:sz w:val="24"/>
              </w:rPr>
              <w:t>63,962.00</w:t>
            </w:r>
          </w:p>
        </w:tc>
        <w:tc>
          <w:tcPr>
            <w:tcW w:w="1823" w:type="dxa"/>
            <w:tcBorders>
              <w:top w:val="nil"/>
              <w:left w:val="nil"/>
              <w:bottom w:val="single" w:color="000000" w:sz="8" w:space="0"/>
              <w:right w:val="single" w:color="000000" w:sz="8" w:space="0"/>
            </w:tcBorders>
            <w:vAlign w:val="center"/>
          </w:tcPr>
          <w:p>
            <w:pPr>
              <w:spacing w:line="360" w:lineRule="auto"/>
              <w:jc w:val="center"/>
              <w:rPr>
                <w:rFonts w:ascii="仿宋_GB2312" w:eastAsia="仿宋_GB2312"/>
                <w:color w:val="000000"/>
                <w:sz w:val="24"/>
              </w:rPr>
            </w:pPr>
            <w:r>
              <w:rPr>
                <w:rFonts w:hint="eastAsia" w:ascii="仿宋_GB2312" w:eastAsia="仿宋_GB2312"/>
                <w:color w:val="000000"/>
                <w:sz w:val="24"/>
              </w:rPr>
              <w:t>-5,818.71</w:t>
            </w:r>
          </w:p>
        </w:tc>
        <w:tc>
          <w:tcPr>
            <w:tcW w:w="1536" w:type="dxa"/>
            <w:tcBorders>
              <w:top w:val="nil"/>
              <w:left w:val="nil"/>
              <w:bottom w:val="single" w:color="000000" w:sz="8" w:space="0"/>
              <w:right w:val="single" w:color="000000" w:sz="8" w:space="0"/>
            </w:tcBorders>
            <w:vAlign w:val="center"/>
          </w:tcPr>
          <w:p>
            <w:pPr>
              <w:widowControl/>
              <w:spacing w:line="360" w:lineRule="auto"/>
              <w:jc w:val="center"/>
              <w:rPr>
                <w:rFonts w:ascii="仿宋_GB2312" w:eastAsia="仿宋_GB2312"/>
                <w:color w:val="000000"/>
                <w:kern w:val="0"/>
                <w:sz w:val="24"/>
              </w:rPr>
            </w:pPr>
            <w:r>
              <w:rPr>
                <w:rFonts w:hint="eastAsia" w:ascii="仿宋_GB2312" w:eastAsia="仿宋_GB2312"/>
                <w:color w:val="000000"/>
                <w:kern w:val="0"/>
                <w:sz w:val="24"/>
              </w:rPr>
              <w:t>-8.34%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jc w:val="center"/>
        </w:trPr>
        <w:tc>
          <w:tcPr>
            <w:tcW w:w="3647" w:type="dxa"/>
            <w:tcBorders>
              <w:top w:val="nil"/>
              <w:left w:val="single" w:color="000000" w:sz="8" w:space="0"/>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（1）人员经费</w:t>
            </w:r>
          </w:p>
        </w:tc>
        <w:tc>
          <w:tcPr>
            <w:tcW w:w="1872" w:type="dxa"/>
            <w:tcBorders>
              <w:top w:val="nil"/>
              <w:left w:val="nil"/>
              <w:bottom w:val="single" w:color="000000" w:sz="8" w:space="0"/>
              <w:right w:val="single" w:color="000000" w:sz="8" w:space="0"/>
            </w:tcBorders>
            <w:vAlign w:val="center"/>
          </w:tcPr>
          <w:p>
            <w:pPr>
              <w:spacing w:line="360" w:lineRule="auto"/>
              <w:jc w:val="center"/>
              <w:rPr>
                <w:rFonts w:ascii="仿宋_GB2312" w:eastAsia="仿宋_GB2312"/>
                <w:color w:val="000000"/>
                <w:sz w:val="24"/>
              </w:rPr>
            </w:pPr>
            <w:r>
              <w:rPr>
                <w:rFonts w:hint="eastAsia" w:ascii="仿宋_GB2312" w:eastAsia="仿宋_GB2312"/>
                <w:color w:val="000000"/>
                <w:sz w:val="24"/>
              </w:rPr>
              <w:t>45,894.89</w:t>
            </w:r>
          </w:p>
        </w:tc>
        <w:tc>
          <w:tcPr>
            <w:tcW w:w="2552" w:type="dxa"/>
            <w:tcBorders>
              <w:top w:val="nil"/>
              <w:left w:val="nil"/>
              <w:bottom w:val="single" w:color="000000" w:sz="8" w:space="0"/>
              <w:right w:val="single" w:color="000000" w:sz="8" w:space="0"/>
            </w:tcBorders>
            <w:vAlign w:val="center"/>
          </w:tcPr>
          <w:p>
            <w:pPr>
              <w:spacing w:line="360" w:lineRule="auto"/>
              <w:jc w:val="center"/>
              <w:rPr>
                <w:rFonts w:ascii="仿宋_GB2312" w:eastAsia="仿宋_GB2312"/>
                <w:color w:val="000000"/>
                <w:sz w:val="24"/>
              </w:rPr>
            </w:pPr>
            <w:r>
              <w:rPr>
                <w:rFonts w:hint="eastAsia" w:ascii="仿宋_GB2312" w:eastAsia="仿宋_GB2312"/>
                <w:color w:val="000000"/>
                <w:sz w:val="24"/>
              </w:rPr>
              <w:t>42,880.47</w:t>
            </w:r>
          </w:p>
        </w:tc>
        <w:tc>
          <w:tcPr>
            <w:tcW w:w="1823" w:type="dxa"/>
            <w:tcBorders>
              <w:top w:val="nil"/>
              <w:left w:val="nil"/>
              <w:bottom w:val="single" w:color="000000" w:sz="8" w:space="0"/>
              <w:right w:val="single" w:color="000000" w:sz="8" w:space="0"/>
            </w:tcBorders>
            <w:vAlign w:val="center"/>
          </w:tcPr>
          <w:p>
            <w:pPr>
              <w:spacing w:line="360" w:lineRule="auto"/>
              <w:jc w:val="center"/>
              <w:rPr>
                <w:rFonts w:ascii="仿宋_GB2312" w:eastAsia="仿宋_GB2312"/>
                <w:color w:val="000000"/>
                <w:sz w:val="24"/>
              </w:rPr>
            </w:pPr>
            <w:r>
              <w:rPr>
                <w:rFonts w:hint="eastAsia" w:ascii="仿宋_GB2312" w:eastAsia="仿宋_GB2312"/>
                <w:color w:val="000000"/>
                <w:sz w:val="24"/>
              </w:rPr>
              <w:t>-3,014.42</w:t>
            </w:r>
          </w:p>
        </w:tc>
        <w:tc>
          <w:tcPr>
            <w:tcW w:w="1536" w:type="dxa"/>
            <w:tcBorders>
              <w:top w:val="nil"/>
              <w:left w:val="nil"/>
              <w:bottom w:val="single" w:color="000000" w:sz="8" w:space="0"/>
              <w:right w:val="single" w:color="000000" w:sz="8" w:space="0"/>
            </w:tcBorders>
            <w:vAlign w:val="center"/>
          </w:tcPr>
          <w:p>
            <w:pPr>
              <w:widowControl/>
              <w:spacing w:line="360" w:lineRule="auto"/>
              <w:jc w:val="center"/>
              <w:rPr>
                <w:rFonts w:ascii="仿宋_GB2312" w:eastAsia="仿宋_GB2312"/>
                <w:color w:val="000000"/>
                <w:kern w:val="0"/>
                <w:sz w:val="24"/>
              </w:rPr>
            </w:pPr>
            <w:r>
              <w:rPr>
                <w:rFonts w:hint="eastAsia" w:ascii="仿宋_GB2312" w:eastAsia="仿宋_GB2312"/>
                <w:color w:val="000000"/>
                <w:kern w:val="0"/>
                <w:sz w:val="24"/>
              </w:rPr>
              <w:t>-6.57%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jc w:val="center"/>
        </w:trPr>
        <w:tc>
          <w:tcPr>
            <w:tcW w:w="3647" w:type="dxa"/>
            <w:tcBorders>
              <w:top w:val="nil"/>
              <w:left w:val="single" w:color="000000" w:sz="8" w:space="0"/>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（2）日常公用经费</w:t>
            </w:r>
          </w:p>
        </w:tc>
        <w:tc>
          <w:tcPr>
            <w:tcW w:w="1872" w:type="dxa"/>
            <w:tcBorders>
              <w:top w:val="nil"/>
              <w:left w:val="nil"/>
              <w:bottom w:val="single" w:color="000000" w:sz="8" w:space="0"/>
              <w:right w:val="single" w:color="000000" w:sz="8" w:space="0"/>
            </w:tcBorders>
            <w:vAlign w:val="center"/>
          </w:tcPr>
          <w:p>
            <w:pPr>
              <w:spacing w:line="360" w:lineRule="auto"/>
              <w:jc w:val="center"/>
              <w:rPr>
                <w:rFonts w:ascii="仿宋_GB2312" w:eastAsia="仿宋_GB2312"/>
                <w:color w:val="000000"/>
                <w:sz w:val="24"/>
              </w:rPr>
            </w:pPr>
            <w:r>
              <w:rPr>
                <w:rFonts w:hint="eastAsia" w:ascii="仿宋_GB2312" w:eastAsia="仿宋_GB2312"/>
                <w:color w:val="000000"/>
                <w:sz w:val="24"/>
              </w:rPr>
              <w:t>23,885.82</w:t>
            </w:r>
          </w:p>
        </w:tc>
        <w:tc>
          <w:tcPr>
            <w:tcW w:w="2552" w:type="dxa"/>
            <w:tcBorders>
              <w:top w:val="nil"/>
              <w:left w:val="nil"/>
              <w:bottom w:val="single" w:color="000000" w:sz="8" w:space="0"/>
              <w:right w:val="single" w:color="000000" w:sz="8" w:space="0"/>
            </w:tcBorders>
            <w:vAlign w:val="center"/>
          </w:tcPr>
          <w:p>
            <w:pPr>
              <w:spacing w:line="360" w:lineRule="auto"/>
              <w:jc w:val="center"/>
              <w:rPr>
                <w:rFonts w:ascii="仿宋_GB2312" w:eastAsia="仿宋_GB2312"/>
                <w:color w:val="000000"/>
                <w:sz w:val="24"/>
              </w:rPr>
            </w:pPr>
            <w:r>
              <w:rPr>
                <w:rFonts w:hint="eastAsia" w:ascii="仿宋_GB2312" w:eastAsia="仿宋_GB2312"/>
                <w:color w:val="000000"/>
                <w:sz w:val="24"/>
              </w:rPr>
              <w:t>21,081.53</w:t>
            </w:r>
          </w:p>
        </w:tc>
        <w:tc>
          <w:tcPr>
            <w:tcW w:w="1823" w:type="dxa"/>
            <w:tcBorders>
              <w:top w:val="nil"/>
              <w:left w:val="nil"/>
              <w:bottom w:val="single" w:color="000000" w:sz="8" w:space="0"/>
              <w:right w:val="single" w:color="000000" w:sz="8" w:space="0"/>
            </w:tcBorders>
            <w:vAlign w:val="center"/>
          </w:tcPr>
          <w:p>
            <w:pPr>
              <w:spacing w:line="360" w:lineRule="auto"/>
              <w:jc w:val="center"/>
              <w:rPr>
                <w:rFonts w:ascii="仿宋_GB2312" w:eastAsia="仿宋_GB2312"/>
                <w:color w:val="000000"/>
                <w:sz w:val="24"/>
              </w:rPr>
            </w:pPr>
            <w:r>
              <w:rPr>
                <w:rFonts w:hint="eastAsia" w:ascii="仿宋_GB2312" w:eastAsia="仿宋_GB2312"/>
                <w:color w:val="000000"/>
                <w:sz w:val="24"/>
              </w:rPr>
              <w:t>-2,804.29</w:t>
            </w:r>
          </w:p>
        </w:tc>
        <w:tc>
          <w:tcPr>
            <w:tcW w:w="1536" w:type="dxa"/>
            <w:tcBorders>
              <w:top w:val="nil"/>
              <w:left w:val="nil"/>
              <w:bottom w:val="single" w:color="000000" w:sz="8" w:space="0"/>
              <w:right w:val="single" w:color="000000" w:sz="8" w:space="0"/>
            </w:tcBorders>
            <w:vAlign w:val="center"/>
          </w:tcPr>
          <w:p>
            <w:pPr>
              <w:widowControl/>
              <w:spacing w:line="360" w:lineRule="auto"/>
              <w:jc w:val="center"/>
              <w:rPr>
                <w:rFonts w:ascii="仿宋_GB2312" w:eastAsia="仿宋_GB2312"/>
                <w:color w:val="000000"/>
                <w:kern w:val="0"/>
                <w:sz w:val="24"/>
              </w:rPr>
            </w:pPr>
            <w:r>
              <w:rPr>
                <w:rFonts w:hint="eastAsia" w:ascii="仿宋_GB2312" w:eastAsia="仿宋_GB2312"/>
                <w:color w:val="000000"/>
                <w:kern w:val="0"/>
                <w:sz w:val="24"/>
              </w:rPr>
              <w:t>-11.74%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jc w:val="center"/>
        </w:trPr>
        <w:tc>
          <w:tcPr>
            <w:tcW w:w="3647" w:type="dxa"/>
            <w:tcBorders>
              <w:top w:val="nil"/>
              <w:left w:val="single" w:color="000000" w:sz="8" w:space="0"/>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项目支出</w:t>
            </w:r>
          </w:p>
        </w:tc>
        <w:tc>
          <w:tcPr>
            <w:tcW w:w="1872" w:type="dxa"/>
            <w:tcBorders>
              <w:top w:val="nil"/>
              <w:left w:val="nil"/>
              <w:bottom w:val="single" w:color="000000" w:sz="8" w:space="0"/>
              <w:right w:val="single" w:color="000000" w:sz="8" w:space="0"/>
            </w:tcBorders>
            <w:vAlign w:val="center"/>
          </w:tcPr>
          <w:p>
            <w:pPr>
              <w:spacing w:line="360" w:lineRule="auto"/>
              <w:jc w:val="center"/>
              <w:rPr>
                <w:rFonts w:ascii="仿宋_GB2312" w:eastAsia="仿宋_GB2312"/>
                <w:color w:val="000000"/>
                <w:sz w:val="24"/>
              </w:rPr>
            </w:pPr>
            <w:r>
              <w:rPr>
                <w:rFonts w:hint="eastAsia" w:ascii="仿宋_GB2312" w:eastAsia="仿宋_GB2312"/>
                <w:color w:val="000000"/>
                <w:sz w:val="24"/>
              </w:rPr>
              <w:t>29,450.48</w:t>
            </w:r>
          </w:p>
        </w:tc>
        <w:tc>
          <w:tcPr>
            <w:tcW w:w="2552" w:type="dxa"/>
            <w:tcBorders>
              <w:top w:val="nil"/>
              <w:left w:val="nil"/>
              <w:bottom w:val="single" w:color="000000" w:sz="8" w:space="0"/>
              <w:right w:val="single" w:color="000000" w:sz="8" w:space="0"/>
            </w:tcBorders>
            <w:vAlign w:val="center"/>
          </w:tcPr>
          <w:p>
            <w:pPr>
              <w:spacing w:line="360" w:lineRule="auto"/>
              <w:jc w:val="center"/>
              <w:rPr>
                <w:rFonts w:ascii="仿宋_GB2312" w:eastAsia="仿宋_GB2312"/>
                <w:color w:val="000000"/>
                <w:sz w:val="24"/>
              </w:rPr>
            </w:pPr>
            <w:r>
              <w:rPr>
                <w:rFonts w:hint="eastAsia" w:ascii="仿宋_GB2312" w:eastAsia="仿宋_GB2312"/>
                <w:color w:val="000000"/>
                <w:sz w:val="24"/>
              </w:rPr>
              <w:t>33,049.87</w:t>
            </w:r>
          </w:p>
        </w:tc>
        <w:tc>
          <w:tcPr>
            <w:tcW w:w="1823" w:type="dxa"/>
            <w:tcBorders>
              <w:top w:val="nil"/>
              <w:left w:val="nil"/>
              <w:bottom w:val="single" w:color="000000" w:sz="8" w:space="0"/>
              <w:right w:val="single" w:color="000000" w:sz="8" w:space="0"/>
            </w:tcBorders>
            <w:vAlign w:val="center"/>
          </w:tcPr>
          <w:p>
            <w:pPr>
              <w:spacing w:line="360" w:lineRule="auto"/>
              <w:jc w:val="center"/>
              <w:rPr>
                <w:rFonts w:ascii="仿宋_GB2312" w:eastAsia="仿宋_GB2312"/>
                <w:color w:val="000000"/>
                <w:sz w:val="24"/>
              </w:rPr>
            </w:pPr>
            <w:r>
              <w:rPr>
                <w:rFonts w:hint="eastAsia" w:ascii="仿宋_GB2312" w:eastAsia="仿宋_GB2312"/>
                <w:color w:val="000000"/>
                <w:sz w:val="24"/>
              </w:rPr>
              <w:t>3,599.39</w:t>
            </w:r>
          </w:p>
        </w:tc>
        <w:tc>
          <w:tcPr>
            <w:tcW w:w="1536" w:type="dxa"/>
            <w:tcBorders>
              <w:top w:val="nil"/>
              <w:left w:val="nil"/>
              <w:bottom w:val="single" w:color="000000" w:sz="8" w:space="0"/>
              <w:right w:val="single" w:color="000000" w:sz="8" w:space="0"/>
            </w:tcBorders>
            <w:vAlign w:val="center"/>
          </w:tcPr>
          <w:p>
            <w:pPr>
              <w:widowControl/>
              <w:spacing w:line="360" w:lineRule="auto"/>
              <w:jc w:val="center"/>
              <w:rPr>
                <w:rFonts w:ascii="仿宋_GB2312" w:eastAsia="仿宋_GB2312"/>
                <w:color w:val="000000"/>
                <w:kern w:val="0"/>
                <w:sz w:val="24"/>
              </w:rPr>
            </w:pPr>
            <w:r>
              <w:rPr>
                <w:rFonts w:hint="eastAsia" w:ascii="仿宋_GB2312" w:eastAsia="仿宋_GB2312"/>
                <w:color w:val="000000"/>
                <w:kern w:val="0"/>
                <w:sz w:val="24"/>
              </w:rPr>
              <w:t>12.22%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jc w:val="center"/>
        </w:trPr>
        <w:tc>
          <w:tcPr>
            <w:tcW w:w="3647" w:type="dxa"/>
            <w:tcBorders>
              <w:top w:val="nil"/>
              <w:left w:val="single" w:color="000000" w:sz="8" w:space="0"/>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（1）基本建设类项目</w:t>
            </w:r>
          </w:p>
        </w:tc>
        <w:tc>
          <w:tcPr>
            <w:tcW w:w="1872" w:type="dxa"/>
            <w:tcBorders>
              <w:top w:val="nil"/>
              <w:left w:val="nil"/>
              <w:bottom w:val="single" w:color="000000" w:sz="8" w:space="0"/>
              <w:right w:val="single" w:color="000000" w:sz="8" w:space="0"/>
            </w:tcBorders>
            <w:vAlign w:val="center"/>
          </w:tcPr>
          <w:p>
            <w:pPr>
              <w:spacing w:line="360" w:lineRule="auto"/>
              <w:jc w:val="center"/>
              <w:rPr>
                <w:rFonts w:ascii="仿宋_GB2312" w:eastAsia="仿宋_GB2312"/>
                <w:color w:val="000000"/>
                <w:sz w:val="24"/>
              </w:rPr>
            </w:pPr>
            <w:r>
              <w:rPr>
                <w:rFonts w:hint="eastAsia" w:ascii="仿宋_GB2312" w:eastAsia="仿宋_GB2312"/>
                <w:color w:val="000000"/>
                <w:sz w:val="24"/>
              </w:rPr>
              <w:t>265.97</w:t>
            </w:r>
          </w:p>
        </w:tc>
        <w:tc>
          <w:tcPr>
            <w:tcW w:w="2552" w:type="dxa"/>
            <w:tcBorders>
              <w:top w:val="nil"/>
              <w:left w:val="nil"/>
              <w:bottom w:val="single" w:color="000000" w:sz="8" w:space="0"/>
              <w:right w:val="single" w:color="000000" w:sz="8" w:space="0"/>
            </w:tcBorders>
            <w:vAlign w:val="center"/>
          </w:tcPr>
          <w:p>
            <w:pPr>
              <w:spacing w:line="360" w:lineRule="auto"/>
              <w:jc w:val="center"/>
              <w:rPr>
                <w:rFonts w:ascii="仿宋_GB2312" w:eastAsia="仿宋_GB2312"/>
                <w:color w:val="000000"/>
                <w:sz w:val="24"/>
              </w:rPr>
            </w:pPr>
            <w:r>
              <w:rPr>
                <w:rFonts w:hint="eastAsia" w:ascii="仿宋_GB2312" w:eastAsia="仿宋_GB2312"/>
                <w:color w:val="000000"/>
                <w:sz w:val="24"/>
              </w:rPr>
              <w:t>114.14</w:t>
            </w:r>
          </w:p>
        </w:tc>
        <w:tc>
          <w:tcPr>
            <w:tcW w:w="1823" w:type="dxa"/>
            <w:tcBorders>
              <w:top w:val="nil"/>
              <w:left w:val="nil"/>
              <w:bottom w:val="single" w:color="000000" w:sz="8" w:space="0"/>
              <w:right w:val="single" w:color="000000" w:sz="8" w:space="0"/>
            </w:tcBorders>
            <w:vAlign w:val="center"/>
          </w:tcPr>
          <w:p>
            <w:pPr>
              <w:spacing w:line="360" w:lineRule="auto"/>
              <w:jc w:val="center"/>
              <w:rPr>
                <w:rFonts w:ascii="仿宋_GB2312" w:eastAsia="仿宋_GB2312"/>
                <w:color w:val="000000"/>
                <w:sz w:val="24"/>
              </w:rPr>
            </w:pPr>
            <w:r>
              <w:rPr>
                <w:rFonts w:hint="eastAsia" w:ascii="仿宋_GB2312" w:eastAsia="仿宋_GB2312"/>
                <w:color w:val="000000"/>
                <w:sz w:val="24"/>
              </w:rPr>
              <w:t>-151.83</w:t>
            </w:r>
          </w:p>
        </w:tc>
        <w:tc>
          <w:tcPr>
            <w:tcW w:w="1536" w:type="dxa"/>
            <w:tcBorders>
              <w:top w:val="nil"/>
              <w:left w:val="nil"/>
              <w:bottom w:val="single" w:color="000000" w:sz="8" w:space="0"/>
              <w:right w:val="single" w:color="000000" w:sz="8" w:space="0"/>
            </w:tcBorders>
            <w:vAlign w:val="center"/>
          </w:tcPr>
          <w:p>
            <w:pPr>
              <w:widowControl/>
              <w:spacing w:line="360" w:lineRule="auto"/>
              <w:jc w:val="center"/>
              <w:rPr>
                <w:rFonts w:ascii="仿宋_GB2312" w:eastAsia="仿宋_GB2312"/>
                <w:color w:val="000000"/>
                <w:kern w:val="0"/>
                <w:sz w:val="24"/>
              </w:rPr>
            </w:pPr>
            <w:r>
              <w:rPr>
                <w:rFonts w:hint="eastAsia" w:ascii="仿宋_GB2312" w:eastAsia="仿宋_GB2312"/>
                <w:color w:val="000000"/>
                <w:kern w:val="0"/>
                <w:sz w:val="24"/>
              </w:rPr>
              <w:t>-57.08%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jc w:val="center"/>
        </w:trPr>
        <w:tc>
          <w:tcPr>
            <w:tcW w:w="3647" w:type="dxa"/>
            <w:tcBorders>
              <w:top w:val="nil"/>
              <w:left w:val="single" w:color="000000" w:sz="8" w:space="0"/>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（2）行政事业类项目</w:t>
            </w:r>
          </w:p>
        </w:tc>
        <w:tc>
          <w:tcPr>
            <w:tcW w:w="1872" w:type="dxa"/>
            <w:tcBorders>
              <w:top w:val="nil"/>
              <w:left w:val="nil"/>
              <w:bottom w:val="single" w:color="000000" w:sz="8" w:space="0"/>
              <w:right w:val="single" w:color="000000" w:sz="8" w:space="0"/>
            </w:tcBorders>
            <w:vAlign w:val="center"/>
          </w:tcPr>
          <w:p>
            <w:pPr>
              <w:spacing w:line="360" w:lineRule="auto"/>
              <w:jc w:val="center"/>
              <w:rPr>
                <w:rFonts w:ascii="仿宋_GB2312" w:eastAsia="仿宋_GB2312"/>
                <w:color w:val="000000"/>
                <w:sz w:val="24"/>
              </w:rPr>
            </w:pPr>
            <w:r>
              <w:rPr>
                <w:rFonts w:hint="eastAsia" w:ascii="仿宋_GB2312" w:eastAsia="仿宋_GB2312"/>
                <w:color w:val="000000"/>
                <w:sz w:val="24"/>
              </w:rPr>
              <w:t>29,184.50</w:t>
            </w:r>
          </w:p>
        </w:tc>
        <w:tc>
          <w:tcPr>
            <w:tcW w:w="2552" w:type="dxa"/>
            <w:tcBorders>
              <w:top w:val="nil"/>
              <w:left w:val="nil"/>
              <w:bottom w:val="single" w:color="000000" w:sz="8" w:space="0"/>
              <w:right w:val="single" w:color="000000" w:sz="8" w:space="0"/>
            </w:tcBorders>
            <w:vAlign w:val="center"/>
          </w:tcPr>
          <w:p>
            <w:pPr>
              <w:spacing w:line="360" w:lineRule="auto"/>
              <w:jc w:val="center"/>
              <w:rPr>
                <w:rFonts w:ascii="仿宋_GB2312" w:eastAsia="仿宋_GB2312"/>
                <w:color w:val="000000"/>
                <w:sz w:val="24"/>
              </w:rPr>
            </w:pPr>
            <w:r>
              <w:rPr>
                <w:rFonts w:hint="eastAsia" w:ascii="仿宋_GB2312" w:eastAsia="仿宋_GB2312"/>
                <w:color w:val="000000"/>
                <w:sz w:val="24"/>
              </w:rPr>
              <w:t>32,935.72</w:t>
            </w:r>
          </w:p>
        </w:tc>
        <w:tc>
          <w:tcPr>
            <w:tcW w:w="1823" w:type="dxa"/>
            <w:tcBorders>
              <w:top w:val="nil"/>
              <w:left w:val="nil"/>
              <w:bottom w:val="single" w:color="000000" w:sz="8" w:space="0"/>
              <w:right w:val="single" w:color="000000" w:sz="8" w:space="0"/>
            </w:tcBorders>
            <w:vAlign w:val="center"/>
          </w:tcPr>
          <w:p>
            <w:pPr>
              <w:spacing w:line="360" w:lineRule="auto"/>
              <w:jc w:val="center"/>
              <w:rPr>
                <w:rFonts w:ascii="仿宋_GB2312" w:eastAsia="仿宋_GB2312"/>
                <w:color w:val="000000"/>
                <w:sz w:val="24"/>
              </w:rPr>
            </w:pPr>
            <w:r>
              <w:rPr>
                <w:rFonts w:hint="eastAsia" w:ascii="仿宋_GB2312" w:eastAsia="仿宋_GB2312"/>
                <w:color w:val="000000"/>
                <w:sz w:val="24"/>
              </w:rPr>
              <w:t>3,751.22</w:t>
            </w:r>
          </w:p>
        </w:tc>
        <w:tc>
          <w:tcPr>
            <w:tcW w:w="1536" w:type="dxa"/>
            <w:tcBorders>
              <w:top w:val="nil"/>
              <w:left w:val="nil"/>
              <w:bottom w:val="single" w:color="000000" w:sz="8" w:space="0"/>
              <w:right w:val="single" w:color="000000" w:sz="8" w:space="0"/>
            </w:tcBorders>
            <w:vAlign w:val="center"/>
          </w:tcPr>
          <w:p>
            <w:pPr>
              <w:widowControl/>
              <w:spacing w:line="360" w:lineRule="auto"/>
              <w:jc w:val="center"/>
              <w:rPr>
                <w:rFonts w:ascii="仿宋_GB2312" w:eastAsia="仿宋_GB2312"/>
                <w:color w:val="000000"/>
                <w:kern w:val="0"/>
                <w:sz w:val="24"/>
              </w:rPr>
            </w:pPr>
            <w:r>
              <w:rPr>
                <w:rFonts w:hint="eastAsia" w:ascii="仿宋_GB2312" w:eastAsia="仿宋_GB2312"/>
                <w:color w:val="000000"/>
                <w:kern w:val="0"/>
                <w:sz w:val="24"/>
              </w:rPr>
              <w:t>12.85%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jc w:val="center"/>
        </w:trPr>
        <w:tc>
          <w:tcPr>
            <w:tcW w:w="3647" w:type="dxa"/>
            <w:tcBorders>
              <w:top w:val="nil"/>
              <w:left w:val="single" w:color="000000" w:sz="8" w:space="0"/>
              <w:bottom w:val="single" w:color="000000" w:sz="8" w:space="0"/>
              <w:right w:val="single" w:color="000000" w:sz="8" w:space="0"/>
            </w:tcBorders>
            <w:vAlign w:val="center"/>
          </w:tcPr>
          <w:p>
            <w:pPr>
              <w:widowControl/>
              <w:spacing w:line="360" w:lineRule="auto"/>
              <w:jc w:val="center"/>
              <w:rPr>
                <w:rFonts w:ascii="仿宋_GB2312" w:hAnsi="宋体" w:eastAsia="仿宋_GB2312" w:cs="宋体"/>
                <w:color w:val="000000"/>
                <w:kern w:val="0"/>
                <w:sz w:val="24"/>
              </w:rPr>
            </w:pPr>
            <w:r>
              <w:rPr>
                <w:rFonts w:hint="eastAsia" w:ascii="仿宋_GB2312" w:hAnsi="宋体" w:eastAsia="仿宋_GB2312" w:cs="宋体"/>
                <w:color w:val="000000"/>
                <w:kern w:val="0"/>
                <w:sz w:val="24"/>
              </w:rPr>
              <w:t>经营支出</w:t>
            </w:r>
          </w:p>
        </w:tc>
        <w:tc>
          <w:tcPr>
            <w:tcW w:w="1872" w:type="dxa"/>
            <w:tcBorders>
              <w:top w:val="nil"/>
              <w:left w:val="nil"/>
              <w:bottom w:val="single" w:color="000000" w:sz="8" w:space="0"/>
              <w:right w:val="single" w:color="000000" w:sz="8" w:space="0"/>
            </w:tcBorders>
            <w:vAlign w:val="center"/>
          </w:tcPr>
          <w:p>
            <w:pPr>
              <w:spacing w:line="360" w:lineRule="auto"/>
              <w:jc w:val="center"/>
              <w:rPr>
                <w:rFonts w:ascii="仿宋_GB2312" w:eastAsia="仿宋_GB2312"/>
                <w:color w:val="000000"/>
                <w:sz w:val="24"/>
              </w:rPr>
            </w:pPr>
            <w:r>
              <w:rPr>
                <w:rFonts w:hint="eastAsia" w:ascii="仿宋_GB2312" w:eastAsia="仿宋_GB2312"/>
                <w:color w:val="000000"/>
                <w:sz w:val="24"/>
              </w:rPr>
              <w:t>66,581.48</w:t>
            </w:r>
          </w:p>
        </w:tc>
        <w:tc>
          <w:tcPr>
            <w:tcW w:w="2552" w:type="dxa"/>
            <w:tcBorders>
              <w:top w:val="nil"/>
              <w:left w:val="nil"/>
              <w:bottom w:val="single" w:color="000000" w:sz="8" w:space="0"/>
              <w:right w:val="single" w:color="000000" w:sz="8" w:space="0"/>
            </w:tcBorders>
            <w:vAlign w:val="center"/>
          </w:tcPr>
          <w:p>
            <w:pPr>
              <w:spacing w:line="360" w:lineRule="auto"/>
              <w:jc w:val="center"/>
              <w:rPr>
                <w:rFonts w:ascii="仿宋_GB2312" w:eastAsia="仿宋_GB2312"/>
                <w:color w:val="000000"/>
                <w:sz w:val="24"/>
              </w:rPr>
            </w:pPr>
            <w:r>
              <w:rPr>
                <w:rFonts w:hint="eastAsia" w:ascii="仿宋_GB2312" w:eastAsia="仿宋_GB2312"/>
                <w:color w:val="000000"/>
                <w:sz w:val="24"/>
              </w:rPr>
              <w:t>17,890.38</w:t>
            </w:r>
          </w:p>
        </w:tc>
        <w:tc>
          <w:tcPr>
            <w:tcW w:w="1823" w:type="dxa"/>
            <w:tcBorders>
              <w:top w:val="nil"/>
              <w:left w:val="nil"/>
              <w:bottom w:val="single" w:color="000000" w:sz="8" w:space="0"/>
              <w:right w:val="single" w:color="000000" w:sz="8" w:space="0"/>
            </w:tcBorders>
            <w:vAlign w:val="center"/>
          </w:tcPr>
          <w:p>
            <w:pPr>
              <w:spacing w:line="360" w:lineRule="auto"/>
              <w:jc w:val="center"/>
              <w:rPr>
                <w:rFonts w:ascii="仿宋_GB2312" w:eastAsia="仿宋_GB2312"/>
                <w:color w:val="000000"/>
                <w:sz w:val="24"/>
              </w:rPr>
            </w:pPr>
            <w:r>
              <w:rPr>
                <w:rFonts w:hint="eastAsia" w:ascii="仿宋_GB2312" w:eastAsia="仿宋_GB2312"/>
                <w:color w:val="000000"/>
                <w:sz w:val="24"/>
              </w:rPr>
              <w:t>-48,691.10</w:t>
            </w:r>
          </w:p>
        </w:tc>
        <w:tc>
          <w:tcPr>
            <w:tcW w:w="1536" w:type="dxa"/>
            <w:tcBorders>
              <w:top w:val="nil"/>
              <w:left w:val="nil"/>
              <w:bottom w:val="single" w:color="000000" w:sz="8" w:space="0"/>
              <w:right w:val="single" w:color="000000" w:sz="8" w:space="0"/>
            </w:tcBorders>
            <w:vAlign w:val="center"/>
          </w:tcPr>
          <w:p>
            <w:pPr>
              <w:widowControl/>
              <w:spacing w:line="360" w:lineRule="auto"/>
              <w:jc w:val="center"/>
              <w:rPr>
                <w:rFonts w:ascii="仿宋_GB2312" w:eastAsia="仿宋_GB2312"/>
                <w:color w:val="000000"/>
                <w:kern w:val="0"/>
                <w:sz w:val="24"/>
              </w:rPr>
            </w:pPr>
            <w:r>
              <w:rPr>
                <w:rFonts w:hint="eastAsia" w:ascii="仿宋_GB2312" w:eastAsia="仿宋_GB2312"/>
                <w:color w:val="000000"/>
                <w:kern w:val="0"/>
                <w:sz w:val="24"/>
              </w:rPr>
              <w:t>-73.13%</w:t>
            </w:r>
          </w:p>
        </w:tc>
      </w:tr>
    </w:tbl>
    <w:p>
      <w:pPr>
        <w:spacing w:line="360" w:lineRule="auto"/>
        <w:ind w:firstLine="640" w:firstLineChars="200"/>
        <w:rPr>
          <w:rFonts w:ascii="仿宋_GB2312" w:eastAsia="仿宋_GB2312"/>
          <w:sz w:val="32"/>
          <w:szCs w:val="32"/>
        </w:rPr>
      </w:pPr>
    </w:p>
    <w:p>
      <w:pPr>
        <w:spacing w:line="360" w:lineRule="auto"/>
        <w:ind w:firstLine="640" w:firstLineChars="200"/>
        <w:rPr>
          <w:rFonts w:ascii="仿宋_GB2312" w:eastAsia="仿宋_GB2312"/>
          <w:sz w:val="32"/>
          <w:szCs w:val="32"/>
        </w:rPr>
      </w:pPr>
      <w:r>
        <w:rPr>
          <w:rFonts w:hint="eastAsia" w:ascii="仿宋_GB2312" w:eastAsia="仿宋_GB2312"/>
          <w:sz w:val="32"/>
          <w:szCs w:val="32"/>
        </w:rPr>
        <w:t>2.差异原因分析</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市福利中心下属的殡葬单位经营收支金额均体现在年初预算批复金额中，部门决算填报时按照要求进行备案上报，不在决算报表汇总数据中反映，使得市福利中心年度预算批复金额与决算金额差异较大，2021年度市福利中心下属的殡葬单位经营收支金额为65625万元。</w:t>
      </w:r>
    </w:p>
    <w:p>
      <w:pPr>
        <w:spacing w:line="360" w:lineRule="auto"/>
        <w:ind w:firstLine="560" w:firstLineChars="200"/>
        <w:outlineLvl w:val="0"/>
        <w:rPr>
          <w:rFonts w:ascii="黑体" w:hAnsi="黑体" w:eastAsia="黑体" w:cs="宋体"/>
          <w:color w:val="000000"/>
          <w:kern w:val="0"/>
          <w:sz w:val="28"/>
          <w:szCs w:val="28"/>
        </w:rPr>
      </w:pPr>
      <w:bookmarkStart w:id="17" w:name="_Toc103086344"/>
      <w:r>
        <w:rPr>
          <w:rFonts w:hint="eastAsia" w:ascii="黑体" w:hAnsi="黑体" w:eastAsia="黑体" w:cs="宋体"/>
          <w:color w:val="000000"/>
          <w:kern w:val="0"/>
          <w:sz w:val="28"/>
          <w:szCs w:val="28"/>
        </w:rPr>
        <w:t>五、总体评价结论</w:t>
      </w:r>
      <w:bookmarkEnd w:id="17"/>
    </w:p>
    <w:p>
      <w:pPr>
        <w:spacing w:line="360" w:lineRule="auto"/>
        <w:ind w:left="105" w:leftChars="50" w:firstLine="640" w:firstLineChars="200"/>
        <w:outlineLvl w:val="1"/>
        <w:rPr>
          <w:rFonts w:ascii="楷体" w:hAnsi="楷体" w:eastAsia="楷体"/>
          <w:sz w:val="32"/>
          <w:szCs w:val="32"/>
        </w:rPr>
      </w:pPr>
      <w:bookmarkStart w:id="18" w:name="_Toc103086345"/>
      <w:r>
        <w:rPr>
          <w:rFonts w:hint="eastAsia" w:ascii="楷体" w:hAnsi="楷体" w:eastAsia="楷体"/>
          <w:sz w:val="32"/>
          <w:szCs w:val="32"/>
        </w:rPr>
        <w:t>（一）评价得分情况</w:t>
      </w:r>
      <w:bookmarkEnd w:id="18"/>
    </w:p>
    <w:p>
      <w:pPr>
        <w:spacing w:line="360" w:lineRule="auto"/>
        <w:ind w:firstLine="640" w:firstLineChars="200"/>
        <w:rPr>
          <w:rFonts w:ascii="仿宋_GB2312" w:eastAsia="仿宋_GB2312"/>
          <w:sz w:val="32"/>
          <w:szCs w:val="32"/>
        </w:rPr>
      </w:pPr>
      <w:r>
        <w:rPr>
          <w:rFonts w:hint="eastAsia" w:ascii="仿宋_GB2312" w:eastAsia="仿宋_GB2312"/>
          <w:sz w:val="32"/>
          <w:szCs w:val="32"/>
        </w:rPr>
        <w:t>经绩效评价：市福利中心2021年度选取了下属单位市第二儿童福利院的“三无休养员生活费”项目开展部门绩效评价工作，并出具了《项目支出绩效评价报告》，项目评价为“优秀”，部门整体绩效级别评定为“良好”。</w:t>
      </w:r>
    </w:p>
    <w:p>
      <w:pPr>
        <w:spacing w:line="360" w:lineRule="auto"/>
        <w:ind w:left="105" w:leftChars="50" w:firstLine="640" w:firstLineChars="200"/>
        <w:outlineLvl w:val="1"/>
        <w:rPr>
          <w:rFonts w:ascii="楷体" w:hAnsi="楷体" w:eastAsia="楷体"/>
          <w:sz w:val="32"/>
          <w:szCs w:val="32"/>
        </w:rPr>
      </w:pPr>
      <w:bookmarkStart w:id="19" w:name="_Toc103086346"/>
      <w:r>
        <w:rPr>
          <w:rFonts w:hint="eastAsia" w:ascii="楷体" w:hAnsi="楷体" w:eastAsia="楷体"/>
          <w:sz w:val="32"/>
          <w:szCs w:val="32"/>
        </w:rPr>
        <w:t>（二）存在的问题及原因分析</w:t>
      </w:r>
      <w:bookmarkEnd w:id="19"/>
    </w:p>
    <w:p>
      <w:pPr>
        <w:snapToGrid w:val="0"/>
        <w:spacing w:line="360" w:lineRule="auto"/>
        <w:ind w:firstLine="640" w:firstLineChars="200"/>
        <w:rPr>
          <w:rFonts w:ascii="仿宋_GB2312" w:eastAsia="仿宋_GB2312"/>
          <w:sz w:val="32"/>
          <w:szCs w:val="32"/>
        </w:rPr>
      </w:pPr>
      <w:r>
        <w:rPr>
          <w:rFonts w:hint="eastAsia" w:ascii="仿宋_GB2312" w:hAnsi="仿宋" w:eastAsia="仿宋_GB2312"/>
          <w:sz w:val="32"/>
          <w:szCs w:val="32"/>
        </w:rPr>
        <w:t>1.由于市福利中心申报的部分预算项目属于机构运行保障类项目，年初绩效目标填报时按照市财政下发的模板格式，设定了项目的二级指标及指标值，事后评价时市财政下发的自评表需要增加披露项目的三级指标并对指标执行情况予</w:t>
      </w:r>
      <w:r>
        <w:rPr>
          <w:rFonts w:hint="eastAsia" w:ascii="仿宋_GB2312" w:eastAsia="仿宋_GB2312"/>
          <w:sz w:val="32"/>
          <w:szCs w:val="32"/>
        </w:rPr>
        <w:t>以评分，二者口径的不一致造成部分项目自评填报工作难度较大。</w:t>
      </w:r>
    </w:p>
    <w:p>
      <w:pPr>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2.部分项目绩效目标不够细化、量化，个别项目年度绩效目标设定含糊不清，项目年度绩效目标中的工作内容没有对应到具体的绩效指标中，难以准确执行和后期评价。</w:t>
      </w:r>
    </w:p>
    <w:p>
      <w:pPr>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3.部分项目缺少项目实施方案或实施方案过于粗放，不够具体，对项目实施的具体工作内容缺少必要的解释说明及风险应对措施。</w:t>
      </w:r>
    </w:p>
    <w:p>
      <w:pPr>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4.部分项目工作小结流于形式，存在以项目资金支付进度替代项目执行进度的现象，或未能有效披露项目执行过程中预算压缩调整后工作内容对应调整的情况，无法有效完整反映项目调整及完成的过程及调整后的最终状态。</w:t>
      </w:r>
    </w:p>
    <w:p>
      <w:pPr>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5.部分项目未进行满意度调查或服务对象满意调查方式不科学、不全面，样本量不足，导致调查结论缺乏代表性，满意度调查后数据归集与意见反馈工作有待进一步加强。</w:t>
      </w:r>
    </w:p>
    <w:p>
      <w:pPr>
        <w:spacing w:line="360" w:lineRule="auto"/>
        <w:ind w:firstLine="560" w:firstLineChars="200"/>
        <w:outlineLvl w:val="0"/>
        <w:rPr>
          <w:rFonts w:ascii="黑体" w:hAnsi="黑体" w:eastAsia="黑体" w:cs="宋体"/>
          <w:color w:val="000000"/>
          <w:kern w:val="0"/>
          <w:sz w:val="28"/>
          <w:szCs w:val="28"/>
        </w:rPr>
      </w:pPr>
      <w:bookmarkStart w:id="20" w:name="_Toc103086347"/>
      <w:r>
        <w:rPr>
          <w:rFonts w:hint="eastAsia" w:ascii="黑体" w:hAnsi="黑体" w:eastAsia="黑体" w:cs="宋体"/>
          <w:color w:val="000000"/>
          <w:kern w:val="0"/>
          <w:sz w:val="28"/>
          <w:szCs w:val="28"/>
        </w:rPr>
        <w:t>六、措施建议</w:t>
      </w:r>
      <w:bookmarkEnd w:id="20"/>
    </w:p>
    <w:p>
      <w:pPr>
        <w:snapToGrid w:val="0"/>
        <w:spacing w:line="360" w:lineRule="auto"/>
        <w:ind w:firstLine="640" w:firstLineChars="200"/>
        <w:rPr>
          <w:rFonts w:ascii="仿宋_GB2312" w:hAnsi="仿宋" w:eastAsia="仿宋_GB2312"/>
          <w:sz w:val="32"/>
          <w:szCs w:val="32"/>
        </w:rPr>
      </w:pPr>
      <w:r>
        <w:rPr>
          <w:rFonts w:hint="eastAsia" w:ascii="仿宋_GB2312" w:hAnsi="仿宋" w:eastAsia="仿宋_GB2312"/>
          <w:sz w:val="32"/>
          <w:szCs w:val="32"/>
        </w:rPr>
        <w:t>1.加强项目可行性研究报告的细化及准确性，加强预算编制的科学性，采用科学合理的方式对预算进行测算，提高预算资金的准确性；针对实施多年的绩效项目可研论证中应重点加强需求调研及往年实施情况梳理工作；</w:t>
      </w:r>
    </w:p>
    <w:p>
      <w:pPr>
        <w:snapToGrid w:val="0"/>
        <w:spacing w:line="360" w:lineRule="auto"/>
        <w:ind w:firstLine="640" w:firstLineChars="200"/>
        <w:rPr>
          <w:rFonts w:ascii="仿宋_GB2312" w:hAnsi="仿宋" w:eastAsia="仿宋_GB2312"/>
          <w:sz w:val="32"/>
          <w:szCs w:val="32"/>
        </w:rPr>
      </w:pPr>
      <w:r>
        <w:rPr>
          <w:rFonts w:hint="eastAsia" w:ascii="仿宋_GB2312" w:hAnsi="仿宋" w:eastAsia="仿宋_GB2312"/>
          <w:sz w:val="32"/>
          <w:szCs w:val="32"/>
        </w:rPr>
        <w:t>2.完善项目管理组织实施方案，做到有效的过程控制、进度控制、质量控制，减少项目实施风险，确保项目的顺利实施；</w:t>
      </w:r>
    </w:p>
    <w:p>
      <w:pPr>
        <w:snapToGrid w:val="0"/>
        <w:spacing w:line="360" w:lineRule="auto"/>
        <w:ind w:firstLine="640" w:firstLineChars="200"/>
        <w:rPr>
          <w:rFonts w:ascii="仿宋_GB2312" w:hAnsi="仿宋" w:eastAsia="仿宋_GB2312"/>
          <w:sz w:val="32"/>
          <w:szCs w:val="32"/>
        </w:rPr>
      </w:pPr>
      <w:r>
        <w:rPr>
          <w:rFonts w:hint="eastAsia" w:ascii="仿宋_GB2312" w:hAnsi="仿宋" w:eastAsia="仿宋_GB2312"/>
          <w:sz w:val="32"/>
          <w:szCs w:val="32"/>
        </w:rPr>
        <w:t>3.提高绩效管理意识，注意实施单位层面与项目相关的决策、管理及日常绩效资料的归集和保管工作；</w:t>
      </w:r>
    </w:p>
    <w:p>
      <w:pPr>
        <w:snapToGrid w:val="0"/>
        <w:spacing w:line="360" w:lineRule="auto"/>
        <w:ind w:firstLine="640" w:firstLineChars="200"/>
        <w:rPr>
          <w:rFonts w:ascii="仿宋_GB2312" w:hAnsi="仿宋" w:eastAsia="仿宋_GB2312"/>
          <w:sz w:val="32"/>
          <w:szCs w:val="32"/>
        </w:rPr>
      </w:pPr>
      <w:r>
        <w:rPr>
          <w:rFonts w:hint="eastAsia" w:ascii="仿宋_GB2312" w:hAnsi="仿宋" w:eastAsia="仿宋_GB2312"/>
          <w:sz w:val="32"/>
          <w:szCs w:val="32"/>
        </w:rPr>
        <w:t>4.加强对项目实施效果的跟踪调研、统计汇总工作，确保绩效数据真实、准确，并对数据适用性进行分析、论证，确保绩效数据与绩效目标的对应性；</w:t>
      </w:r>
    </w:p>
    <w:p>
      <w:pPr>
        <w:snapToGrid w:val="0"/>
        <w:spacing w:line="360" w:lineRule="auto"/>
        <w:ind w:firstLine="640" w:firstLineChars="200"/>
        <w:rPr>
          <w:rFonts w:ascii="仿宋_GB2312" w:hAnsi="仿宋" w:eastAsia="仿宋_GB2312"/>
          <w:sz w:val="32"/>
          <w:szCs w:val="32"/>
        </w:rPr>
      </w:pPr>
      <w:r>
        <w:rPr>
          <w:rFonts w:hint="eastAsia" w:ascii="仿宋_GB2312" w:hAnsi="仿宋" w:eastAsia="仿宋_GB2312"/>
          <w:sz w:val="32"/>
          <w:szCs w:val="32"/>
        </w:rPr>
        <w:t>5.明确项目受众群体，服务对象满意度调查科学选取样本，适当扩大样本量，确保调查结果的准确性和可靠性，及时做好满意度调查的反馈工作，有效促进项目今后的改进和提升工作。</w:t>
      </w:r>
    </w:p>
    <w:p>
      <w:pPr>
        <w:ind w:firstLine="640" w:firstLineChars="200"/>
        <w:jc w:val="left"/>
        <w:rPr>
          <w:rFonts w:ascii="仿宋_GB2312" w:hAnsi="仿宋" w:eastAsia="仿宋_GB2312"/>
          <w:sz w:val="32"/>
          <w:szCs w:val="32"/>
        </w:rPr>
      </w:pPr>
    </w:p>
    <w:sectPr>
      <w:footerReference r:id="rId5"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等线 Light">
    <w:altName w:val="宋体"/>
    <w:panose1 w:val="00000000000000000000"/>
    <w:charset w:val="86"/>
    <w:family w:val="auto"/>
    <w:pitch w:val="default"/>
    <w:sig w:usb0="A00002BF" w:usb1="38CF7CFA" w:usb2="00000016" w:usb3="00000000" w:csb0="0004000F" w:csb1="00000000"/>
  </w:font>
  <w:font w:name="仿宋_GB2312">
    <w:panose1 w:val="02010609030101010101"/>
    <w:charset w:val="86"/>
    <w:family w:val="auto"/>
    <w:pitch w:val="default"/>
    <w:sig w:usb0="00000001" w:usb1="080E0000" w:usb2="00000000" w:usb3="00000000" w:csb0="00040000" w:csb1="00000000"/>
  </w:font>
  <w:font w:name="等线">
    <w:altName w:val="Arial Unicode MS"/>
    <w:panose1 w:val="00000000000000000000"/>
    <w:charset w:val="86"/>
    <w:family w:val="auto"/>
    <w:pitch w:val="default"/>
    <w:sig w:usb0="00000000"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Calibri">
    <w:panose1 w:val="020F0502020204030204"/>
    <w:charset w:val="00"/>
    <w:family w:val="auto"/>
    <w:pitch w:val="default"/>
    <w:sig w:usb0="E00002FF" w:usb1="4000ACFF" w:usb2="00000001" w:usb3="00000000" w:csb0="2000019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jc w:val="center"/>
    </w:pP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jc w:val="cente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26</w:t>
    </w:r>
    <w:r>
      <w:rPr>
        <w:rFonts w:ascii="宋体" w:hAnsi="宋体"/>
        <w:sz w:val="28"/>
        <w:szCs w:val="28"/>
      </w:rP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EA28B9"/>
    <w:rsid w:val="00001B21"/>
    <w:rsid w:val="00010C55"/>
    <w:rsid w:val="00015325"/>
    <w:rsid w:val="00015FFF"/>
    <w:rsid w:val="00024DCF"/>
    <w:rsid w:val="000316E8"/>
    <w:rsid w:val="00055E92"/>
    <w:rsid w:val="00062156"/>
    <w:rsid w:val="000C771F"/>
    <w:rsid w:val="000E2E18"/>
    <w:rsid w:val="000E592E"/>
    <w:rsid w:val="000E5BA3"/>
    <w:rsid w:val="000F5774"/>
    <w:rsid w:val="00101F41"/>
    <w:rsid w:val="001032B7"/>
    <w:rsid w:val="0011143C"/>
    <w:rsid w:val="00141A2D"/>
    <w:rsid w:val="00141CD0"/>
    <w:rsid w:val="001474D5"/>
    <w:rsid w:val="00156135"/>
    <w:rsid w:val="00174055"/>
    <w:rsid w:val="001D43ED"/>
    <w:rsid w:val="001D4658"/>
    <w:rsid w:val="001E5229"/>
    <w:rsid w:val="001E62E4"/>
    <w:rsid w:val="001F0BB3"/>
    <w:rsid w:val="001F61EC"/>
    <w:rsid w:val="002021EB"/>
    <w:rsid w:val="00222CCB"/>
    <w:rsid w:val="0023022E"/>
    <w:rsid w:val="002305AB"/>
    <w:rsid w:val="00236664"/>
    <w:rsid w:val="00251DE4"/>
    <w:rsid w:val="002636B1"/>
    <w:rsid w:val="00282D13"/>
    <w:rsid w:val="00294084"/>
    <w:rsid w:val="002A3827"/>
    <w:rsid w:val="002B11FA"/>
    <w:rsid w:val="002B6958"/>
    <w:rsid w:val="002C7E72"/>
    <w:rsid w:val="002D268E"/>
    <w:rsid w:val="002D516D"/>
    <w:rsid w:val="002D7CC3"/>
    <w:rsid w:val="002E60E1"/>
    <w:rsid w:val="002F4C98"/>
    <w:rsid w:val="00303D45"/>
    <w:rsid w:val="003071B7"/>
    <w:rsid w:val="00312AF6"/>
    <w:rsid w:val="0032322C"/>
    <w:rsid w:val="00333D4C"/>
    <w:rsid w:val="00354F3B"/>
    <w:rsid w:val="0035795B"/>
    <w:rsid w:val="00372E34"/>
    <w:rsid w:val="00374AEF"/>
    <w:rsid w:val="00376D54"/>
    <w:rsid w:val="00381272"/>
    <w:rsid w:val="003919E4"/>
    <w:rsid w:val="00392713"/>
    <w:rsid w:val="003B2E00"/>
    <w:rsid w:val="003B4F8B"/>
    <w:rsid w:val="003C0D32"/>
    <w:rsid w:val="003C55DA"/>
    <w:rsid w:val="003D28C1"/>
    <w:rsid w:val="003D69C3"/>
    <w:rsid w:val="003E4C0A"/>
    <w:rsid w:val="003F078F"/>
    <w:rsid w:val="003F385F"/>
    <w:rsid w:val="003F5F17"/>
    <w:rsid w:val="00411F8C"/>
    <w:rsid w:val="00463E23"/>
    <w:rsid w:val="0049499B"/>
    <w:rsid w:val="0049612A"/>
    <w:rsid w:val="004B1D2B"/>
    <w:rsid w:val="004B5E8F"/>
    <w:rsid w:val="004F5541"/>
    <w:rsid w:val="005330D1"/>
    <w:rsid w:val="00542846"/>
    <w:rsid w:val="005525B7"/>
    <w:rsid w:val="005560F1"/>
    <w:rsid w:val="005607F3"/>
    <w:rsid w:val="00562A7B"/>
    <w:rsid w:val="005659D9"/>
    <w:rsid w:val="005747BD"/>
    <w:rsid w:val="00582D6B"/>
    <w:rsid w:val="005A32AF"/>
    <w:rsid w:val="005C55FE"/>
    <w:rsid w:val="005D35FB"/>
    <w:rsid w:val="005D3E5A"/>
    <w:rsid w:val="005D3FAE"/>
    <w:rsid w:val="005E1579"/>
    <w:rsid w:val="005E3CC1"/>
    <w:rsid w:val="005E3D6F"/>
    <w:rsid w:val="005E707E"/>
    <w:rsid w:val="00621C56"/>
    <w:rsid w:val="006412C2"/>
    <w:rsid w:val="00670DBF"/>
    <w:rsid w:val="00683515"/>
    <w:rsid w:val="00686A6A"/>
    <w:rsid w:val="00687560"/>
    <w:rsid w:val="00695D3F"/>
    <w:rsid w:val="00696369"/>
    <w:rsid w:val="006A4624"/>
    <w:rsid w:val="006A6BB5"/>
    <w:rsid w:val="006B14BF"/>
    <w:rsid w:val="006B3909"/>
    <w:rsid w:val="006C366F"/>
    <w:rsid w:val="006C4F61"/>
    <w:rsid w:val="006E0CAC"/>
    <w:rsid w:val="006F1D7A"/>
    <w:rsid w:val="006F2699"/>
    <w:rsid w:val="006F7025"/>
    <w:rsid w:val="00714C25"/>
    <w:rsid w:val="00725C8C"/>
    <w:rsid w:val="00735EAA"/>
    <w:rsid w:val="007453D3"/>
    <w:rsid w:val="00746C6D"/>
    <w:rsid w:val="00754E40"/>
    <w:rsid w:val="00756714"/>
    <w:rsid w:val="00765B88"/>
    <w:rsid w:val="00772B1F"/>
    <w:rsid w:val="007771DD"/>
    <w:rsid w:val="00780DE0"/>
    <w:rsid w:val="007B4BA7"/>
    <w:rsid w:val="007B7B29"/>
    <w:rsid w:val="007C3EA5"/>
    <w:rsid w:val="007D418A"/>
    <w:rsid w:val="007F083C"/>
    <w:rsid w:val="007F32D8"/>
    <w:rsid w:val="00801038"/>
    <w:rsid w:val="00802851"/>
    <w:rsid w:val="00803310"/>
    <w:rsid w:val="00807290"/>
    <w:rsid w:val="00807F6E"/>
    <w:rsid w:val="00813C43"/>
    <w:rsid w:val="008148FD"/>
    <w:rsid w:val="00817500"/>
    <w:rsid w:val="00843CC3"/>
    <w:rsid w:val="00850EC2"/>
    <w:rsid w:val="008565C9"/>
    <w:rsid w:val="0088103F"/>
    <w:rsid w:val="0088769C"/>
    <w:rsid w:val="00896F16"/>
    <w:rsid w:val="008A0790"/>
    <w:rsid w:val="008A0ECF"/>
    <w:rsid w:val="008C3A2F"/>
    <w:rsid w:val="008F18F7"/>
    <w:rsid w:val="009049E5"/>
    <w:rsid w:val="0090740B"/>
    <w:rsid w:val="00917EC0"/>
    <w:rsid w:val="009205BA"/>
    <w:rsid w:val="00922C51"/>
    <w:rsid w:val="00923596"/>
    <w:rsid w:val="00923757"/>
    <w:rsid w:val="009269C6"/>
    <w:rsid w:val="00934B35"/>
    <w:rsid w:val="00955F4C"/>
    <w:rsid w:val="0096287F"/>
    <w:rsid w:val="0096368F"/>
    <w:rsid w:val="00967033"/>
    <w:rsid w:val="0097178D"/>
    <w:rsid w:val="00971FE9"/>
    <w:rsid w:val="00991C6B"/>
    <w:rsid w:val="009D03FD"/>
    <w:rsid w:val="009D31C7"/>
    <w:rsid w:val="009E509A"/>
    <w:rsid w:val="009F30EB"/>
    <w:rsid w:val="009F427B"/>
    <w:rsid w:val="00A011D0"/>
    <w:rsid w:val="00A14AAF"/>
    <w:rsid w:val="00A3209C"/>
    <w:rsid w:val="00A412C8"/>
    <w:rsid w:val="00A47315"/>
    <w:rsid w:val="00A52801"/>
    <w:rsid w:val="00A56D2C"/>
    <w:rsid w:val="00A62467"/>
    <w:rsid w:val="00A64CAE"/>
    <w:rsid w:val="00A743C0"/>
    <w:rsid w:val="00AA627B"/>
    <w:rsid w:val="00AB2A01"/>
    <w:rsid w:val="00AC43B5"/>
    <w:rsid w:val="00AC6442"/>
    <w:rsid w:val="00AD3A51"/>
    <w:rsid w:val="00AD5235"/>
    <w:rsid w:val="00AE0D7E"/>
    <w:rsid w:val="00AE140F"/>
    <w:rsid w:val="00B07756"/>
    <w:rsid w:val="00B560F4"/>
    <w:rsid w:val="00B75A0E"/>
    <w:rsid w:val="00B77C56"/>
    <w:rsid w:val="00B80862"/>
    <w:rsid w:val="00B90FBD"/>
    <w:rsid w:val="00B93EDC"/>
    <w:rsid w:val="00B9641B"/>
    <w:rsid w:val="00B9701E"/>
    <w:rsid w:val="00BC1364"/>
    <w:rsid w:val="00BC7779"/>
    <w:rsid w:val="00BE58A0"/>
    <w:rsid w:val="00C05D31"/>
    <w:rsid w:val="00C220F8"/>
    <w:rsid w:val="00C22528"/>
    <w:rsid w:val="00C44C4F"/>
    <w:rsid w:val="00C452AC"/>
    <w:rsid w:val="00C61AC2"/>
    <w:rsid w:val="00C7695F"/>
    <w:rsid w:val="00CB40AE"/>
    <w:rsid w:val="00CC2505"/>
    <w:rsid w:val="00CF05A8"/>
    <w:rsid w:val="00CF22A9"/>
    <w:rsid w:val="00CF3050"/>
    <w:rsid w:val="00D043BB"/>
    <w:rsid w:val="00D0546D"/>
    <w:rsid w:val="00D11A0C"/>
    <w:rsid w:val="00D221BB"/>
    <w:rsid w:val="00D37792"/>
    <w:rsid w:val="00D414A5"/>
    <w:rsid w:val="00D42A06"/>
    <w:rsid w:val="00D45FBF"/>
    <w:rsid w:val="00D64FF6"/>
    <w:rsid w:val="00D8274D"/>
    <w:rsid w:val="00D85400"/>
    <w:rsid w:val="00D861D4"/>
    <w:rsid w:val="00DA0D9D"/>
    <w:rsid w:val="00DA1A51"/>
    <w:rsid w:val="00DE5904"/>
    <w:rsid w:val="00DE7816"/>
    <w:rsid w:val="00DF36F1"/>
    <w:rsid w:val="00E07079"/>
    <w:rsid w:val="00E14F52"/>
    <w:rsid w:val="00E47222"/>
    <w:rsid w:val="00E65B32"/>
    <w:rsid w:val="00E65F05"/>
    <w:rsid w:val="00E96FDE"/>
    <w:rsid w:val="00E97B36"/>
    <w:rsid w:val="00EA28B9"/>
    <w:rsid w:val="00EB7EEA"/>
    <w:rsid w:val="00EE06AF"/>
    <w:rsid w:val="00EE267D"/>
    <w:rsid w:val="00EE474B"/>
    <w:rsid w:val="00F00D9B"/>
    <w:rsid w:val="00F20465"/>
    <w:rsid w:val="00F32BC5"/>
    <w:rsid w:val="00F43BE6"/>
    <w:rsid w:val="00F56D8F"/>
    <w:rsid w:val="00F73D9B"/>
    <w:rsid w:val="00F744C0"/>
    <w:rsid w:val="00F76855"/>
    <w:rsid w:val="00FC5967"/>
    <w:rsid w:val="00FE4D94"/>
    <w:rsid w:val="00FF5424"/>
    <w:rsid w:val="02AF5D43"/>
    <w:rsid w:val="0C482607"/>
    <w:rsid w:val="0EAE506E"/>
    <w:rsid w:val="1EFC1A7C"/>
    <w:rsid w:val="2BDA5F01"/>
    <w:rsid w:val="550B7314"/>
    <w:rsid w:val="5BC32A23"/>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semiHidden="0" w:name="toc 1"/>
    <w:lsdException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99" w:semiHidden="0" w:name="Balloon Text"/>
    <w:lsdException w:uiPriority="39"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7"/>
    <w:unhideWhenUsed/>
    <w:qFormat/>
    <w:uiPriority w:val="9"/>
    <w:pPr>
      <w:keepNext/>
      <w:keepLines/>
      <w:spacing w:before="260" w:after="260" w:line="416" w:lineRule="auto"/>
      <w:outlineLvl w:val="1"/>
    </w:pPr>
    <w:rPr>
      <w:rFonts w:ascii="等线 Light" w:hAnsi="等线 Light" w:eastAsia="等线 Light" w:cs="黑体"/>
      <w:b/>
      <w:bCs/>
      <w:sz w:val="32"/>
      <w:szCs w:val="32"/>
    </w:rPr>
  </w:style>
  <w:style w:type="character" w:default="1" w:styleId="9">
    <w:name w:val="Default Paragraph Font"/>
    <w:unhideWhenUsed/>
    <w:uiPriority w:val="1"/>
  </w:style>
  <w:style w:type="table" w:default="1" w:styleId="11">
    <w:name w:val="Normal Table"/>
    <w:unhideWhenUsed/>
    <w:uiPriority w:val="99"/>
    <w:tblPr>
      <w:tblStyle w:val="11"/>
      <w:tblLayout w:type="fixed"/>
      <w:tblCellMar>
        <w:top w:w="0" w:type="dxa"/>
        <w:left w:w="108" w:type="dxa"/>
        <w:bottom w:w="0" w:type="dxa"/>
        <w:right w:w="108" w:type="dxa"/>
      </w:tblCellMar>
    </w:tblPr>
    <w:tcPr>
      <w:textDirection w:val="lrTb"/>
    </w:tcPr>
  </w:style>
  <w:style w:type="paragraph" w:styleId="4">
    <w:name w:val="Balloon Text"/>
    <w:basedOn w:val="1"/>
    <w:link w:val="18"/>
    <w:unhideWhenUsed/>
    <w:uiPriority w:val="99"/>
    <w:rPr>
      <w:sz w:val="18"/>
      <w:szCs w:val="18"/>
    </w:rPr>
  </w:style>
  <w:style w:type="paragraph" w:styleId="5">
    <w:name w:val="footer"/>
    <w:basedOn w:val="1"/>
    <w:link w:val="15"/>
    <w:unhideWhenUsed/>
    <w:uiPriority w:val="99"/>
    <w:pPr>
      <w:tabs>
        <w:tab w:val="center" w:pos="4153"/>
        <w:tab w:val="right" w:pos="8306"/>
      </w:tabs>
      <w:snapToGrid w:val="0"/>
      <w:jc w:val="left"/>
    </w:pPr>
    <w:rPr>
      <w:sz w:val="18"/>
      <w:szCs w:val="18"/>
    </w:rPr>
  </w:style>
  <w:style w:type="paragraph" w:styleId="6">
    <w:name w:val="header"/>
    <w:basedOn w:val="1"/>
    <w:link w:val="14"/>
    <w:unhideWhenUsed/>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unhideWhenUsed/>
    <w:uiPriority w:val="39"/>
    <w:pPr>
      <w:tabs>
        <w:tab w:val="right" w:leader="dot" w:pos="8296"/>
      </w:tabs>
      <w:spacing w:line="480" w:lineRule="auto"/>
    </w:pPr>
  </w:style>
  <w:style w:type="paragraph" w:styleId="8">
    <w:name w:val="toc 2"/>
    <w:basedOn w:val="1"/>
    <w:next w:val="1"/>
    <w:unhideWhenUsed/>
    <w:uiPriority w:val="39"/>
    <w:pPr>
      <w:ind w:left="420" w:leftChars="200"/>
    </w:pPr>
  </w:style>
  <w:style w:type="character" w:styleId="10">
    <w:name w:val="Hyperlink"/>
    <w:unhideWhenUsed/>
    <w:uiPriority w:val="99"/>
    <w:rPr>
      <w:color w:val="0563C1"/>
      <w:u w:val="single"/>
    </w:rPr>
  </w:style>
  <w:style w:type="paragraph" w:customStyle="1" w:styleId="12">
    <w:name w:val="TOC 标题1"/>
    <w:basedOn w:val="2"/>
    <w:next w:val="1"/>
    <w:unhideWhenUsed/>
    <w:qFormat/>
    <w:uiPriority w:val="39"/>
    <w:pPr>
      <w:widowControl/>
      <w:spacing w:before="240" w:after="0" w:line="259" w:lineRule="auto"/>
      <w:jc w:val="left"/>
      <w:outlineLvl w:val="9"/>
    </w:pPr>
    <w:rPr>
      <w:rFonts w:ascii="等线 Light" w:hAnsi="等线 Light" w:eastAsia="等线 Light" w:cs="黑体"/>
      <w:b w:val="0"/>
      <w:bCs w:val="0"/>
      <w:color w:val="2E5394"/>
      <w:kern w:val="0"/>
      <w:sz w:val="32"/>
      <w:szCs w:val="32"/>
    </w:rPr>
  </w:style>
  <w:style w:type="paragraph" w:customStyle="1" w:styleId="13">
    <w:name w:val="列出段落1"/>
    <w:basedOn w:val="1"/>
    <w:qFormat/>
    <w:uiPriority w:val="34"/>
    <w:pPr>
      <w:ind w:firstLine="420" w:firstLineChars="200"/>
    </w:pPr>
  </w:style>
  <w:style w:type="character" w:customStyle="1" w:styleId="14">
    <w:name w:val="页眉 Char"/>
    <w:link w:val="6"/>
    <w:uiPriority w:val="99"/>
    <w:rPr>
      <w:sz w:val="18"/>
      <w:szCs w:val="18"/>
    </w:rPr>
  </w:style>
  <w:style w:type="character" w:customStyle="1" w:styleId="15">
    <w:name w:val="页脚 Char"/>
    <w:link w:val="5"/>
    <w:uiPriority w:val="99"/>
    <w:rPr>
      <w:sz w:val="18"/>
      <w:szCs w:val="18"/>
    </w:rPr>
  </w:style>
  <w:style w:type="character" w:customStyle="1" w:styleId="16">
    <w:name w:val="标题 1 Char"/>
    <w:link w:val="2"/>
    <w:uiPriority w:val="9"/>
    <w:rPr>
      <w:rFonts w:ascii="Times New Roman" w:hAnsi="Times New Roman" w:eastAsia="宋体" w:cs="Times New Roman"/>
      <w:b/>
      <w:bCs/>
      <w:kern w:val="44"/>
      <w:sz w:val="44"/>
      <w:szCs w:val="44"/>
    </w:rPr>
  </w:style>
  <w:style w:type="character" w:customStyle="1" w:styleId="17">
    <w:name w:val="标题 2 Char"/>
    <w:link w:val="3"/>
    <w:uiPriority w:val="9"/>
    <w:rPr>
      <w:rFonts w:ascii="等线 Light" w:hAnsi="等线 Light" w:eastAsia="等线 Light" w:cs="黑体"/>
      <w:b/>
      <w:bCs/>
      <w:sz w:val="32"/>
      <w:szCs w:val="32"/>
    </w:rPr>
  </w:style>
  <w:style w:type="character" w:customStyle="1" w:styleId="18">
    <w:name w:val="批注框文本 Char"/>
    <w:link w:val="4"/>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28</Pages>
  <Words>2171</Words>
  <Characters>12378</Characters>
  <Lines>103</Lines>
  <Paragraphs>29</Paragraphs>
  <ScaleCrop>false</ScaleCrop>
  <LinksUpToDate>false</LinksUpToDate>
  <CharactersWithSpaces>0</CharactersWithSpaces>
  <Application>WPS Office 专业版_9.1.0.4798_{F1E327BC-269C-435d-A152-05C5408002CA}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2022-08-25T07:59:00Z</dcterms:created>
  <dc:creator>j m</dc:creator>
  <cp:lastModifiedBy>周少杰</cp:lastModifiedBy>
  <dcterms:modified xsi:type="dcterms:W3CDTF">2022-08-31T08:24:55Z</dcterms:modified>
  <dc:title>北京市市级预算部门整体</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2052-9.1.0.4798</vt:lpwstr>
  </property>
</Properties>
</file>