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7804" w:rsidRDefault="001E2B88">
      <w:pPr>
        <w:ind w:firstLine="560"/>
      </w:pPr>
      <w:bookmarkStart w:id="0" w:name="_GoBack"/>
      <w:bookmarkEnd w:id="0"/>
      <w:r>
        <w:rPr>
          <w:noProof/>
        </w:rPr>
        <w:drawing>
          <wp:anchor distT="0" distB="0" distL="114300" distR="114300" simplePos="0" relativeHeight="251676672" behindDoc="0" locked="0" layoutInCell="1" allowOverlap="1">
            <wp:simplePos x="0" y="0"/>
            <wp:positionH relativeFrom="column">
              <wp:posOffset>-913130</wp:posOffset>
            </wp:positionH>
            <wp:positionV relativeFrom="paragraph">
              <wp:posOffset>-224790</wp:posOffset>
            </wp:positionV>
            <wp:extent cx="6993255" cy="8754745"/>
            <wp:effectExtent l="0" t="0" r="4445" b="8255"/>
            <wp:wrapSquare wrapText="bothSides"/>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7"/>
                    <a:stretch>
                      <a:fillRect/>
                    </a:stretch>
                  </pic:blipFill>
                  <pic:spPr>
                    <a:xfrm>
                      <a:off x="0" y="0"/>
                      <a:ext cx="6993255" cy="8754745"/>
                    </a:xfrm>
                    <a:prstGeom prst="rect">
                      <a:avLst/>
                    </a:prstGeom>
                    <a:noFill/>
                    <a:ln>
                      <a:noFill/>
                    </a:ln>
                  </pic:spPr>
                </pic:pic>
              </a:graphicData>
            </a:graphic>
          </wp:anchor>
        </w:drawing>
      </w:r>
      <w:r>
        <w:br w:type="page"/>
      </w:r>
    </w:p>
    <w:p w:rsidR="00477804" w:rsidRDefault="00477804">
      <w:pPr>
        <w:ind w:firstLine="560"/>
      </w:pPr>
    </w:p>
    <w:p w:rsidR="00477804" w:rsidRDefault="00477804">
      <w:pPr>
        <w:ind w:firstLineChars="0" w:firstLine="0"/>
        <w:rPr>
          <w:rFonts w:eastAsia="仿宋"/>
        </w:rPr>
      </w:pPr>
    </w:p>
    <w:p w:rsidR="00477804" w:rsidRDefault="001E2B88">
      <w:pPr>
        <w:pStyle w:val="a3"/>
        <w:ind w:firstLineChars="0" w:firstLine="0"/>
        <w:rPr>
          <w:rFonts w:eastAsia="仿宋"/>
        </w:rPr>
      </w:pPr>
      <w:r>
        <w:rPr>
          <w:rFonts w:ascii="仿宋" w:eastAsia="仿宋" w:hAnsi="仿宋" w:hint="eastAsia"/>
          <w:noProof/>
          <w:kern w:val="44"/>
        </w:rPr>
        <w:drawing>
          <wp:anchor distT="0" distB="0" distL="114300" distR="114300" simplePos="0" relativeHeight="251667456" behindDoc="0" locked="0" layoutInCell="1" allowOverlap="1">
            <wp:simplePos x="0" y="0"/>
            <wp:positionH relativeFrom="column">
              <wp:posOffset>3145155</wp:posOffset>
            </wp:positionH>
            <wp:positionV relativeFrom="paragraph">
              <wp:posOffset>1025525</wp:posOffset>
            </wp:positionV>
            <wp:extent cx="2589530" cy="1943735"/>
            <wp:effectExtent l="0" t="0" r="1270" b="6985"/>
            <wp:wrapTopAndBottom/>
            <wp:docPr id="16" name="图片 16" descr="C:/Users/25474/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25474/Desktop/图片1.png图片1"/>
                    <pic:cNvPicPr>
                      <a:picLocks noChangeAspect="1"/>
                    </pic:cNvPicPr>
                  </pic:nvPicPr>
                  <pic:blipFill>
                    <a:blip r:embed="rId8"/>
                    <a:srcRect l="12153" r="12153"/>
                    <a:stretch>
                      <a:fillRect/>
                    </a:stretch>
                  </pic:blipFill>
                  <pic:spPr>
                    <a:xfrm>
                      <a:off x="0" y="0"/>
                      <a:ext cx="2589530" cy="1943735"/>
                    </a:xfrm>
                    <a:prstGeom prst="rect">
                      <a:avLst/>
                    </a:prstGeom>
                  </pic:spPr>
                </pic:pic>
              </a:graphicData>
            </a:graphic>
          </wp:anchor>
        </w:drawing>
      </w:r>
      <w:r>
        <w:rPr>
          <w:rFonts w:ascii="仿宋" w:eastAsia="仿宋" w:hAnsi="仿宋" w:hint="eastAsia"/>
          <w:noProof/>
          <w:kern w:val="44"/>
        </w:rPr>
        <w:drawing>
          <wp:anchor distT="0" distB="0" distL="114300" distR="114300" simplePos="0" relativeHeight="251665408" behindDoc="0" locked="0" layoutInCell="1" allowOverlap="1">
            <wp:simplePos x="0" y="0"/>
            <wp:positionH relativeFrom="column">
              <wp:posOffset>95250</wp:posOffset>
            </wp:positionH>
            <wp:positionV relativeFrom="paragraph">
              <wp:posOffset>1014730</wp:posOffset>
            </wp:positionV>
            <wp:extent cx="2591435" cy="1943735"/>
            <wp:effectExtent l="0" t="0" r="14605" b="6985"/>
            <wp:wrapTopAndBottom/>
            <wp:docPr id="13" name="图片 13" descr="C:/Users/25474/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25474/Desktop/图片1.png图片1"/>
                    <pic:cNvPicPr>
                      <a:picLocks noChangeAspect="1"/>
                    </pic:cNvPicPr>
                  </pic:nvPicPr>
                  <pic:blipFill>
                    <a:blip r:embed="rId9"/>
                    <a:srcRect l="3675" r="3675"/>
                    <a:stretch>
                      <a:fillRect/>
                    </a:stretch>
                  </pic:blipFill>
                  <pic:spPr>
                    <a:xfrm>
                      <a:off x="0" y="0"/>
                      <a:ext cx="2591435" cy="1943735"/>
                    </a:xfrm>
                    <a:prstGeom prst="rect">
                      <a:avLst/>
                    </a:prstGeom>
                  </pic:spPr>
                </pic:pic>
              </a:graphicData>
            </a:graphic>
          </wp:anchor>
        </w:drawing>
      </w:r>
      <w:r>
        <w:rPr>
          <w:rFonts w:ascii="仿宋" w:eastAsia="仿宋" w:hAnsi="仿宋"/>
          <w:noProof/>
          <w:kern w:val="44"/>
        </w:rPr>
        <mc:AlternateContent>
          <mc:Choice Requires="wps">
            <w:drawing>
              <wp:anchor distT="0" distB="0" distL="114300" distR="114300" simplePos="0" relativeHeight="251661312" behindDoc="0" locked="0" layoutInCell="1" allowOverlap="1">
                <wp:simplePos x="0" y="0"/>
                <wp:positionH relativeFrom="column">
                  <wp:posOffset>3517900</wp:posOffset>
                </wp:positionH>
                <wp:positionV relativeFrom="paragraph">
                  <wp:posOffset>2994025</wp:posOffset>
                </wp:positionV>
                <wp:extent cx="1873250" cy="438150"/>
                <wp:effectExtent l="0" t="0" r="1270" b="3810"/>
                <wp:wrapNone/>
                <wp:docPr id="9" name="文本框 9"/>
                <wp:cNvGraphicFramePr/>
                <a:graphic xmlns:a="http://schemas.openxmlformats.org/drawingml/2006/main">
                  <a:graphicData uri="http://schemas.microsoft.com/office/word/2010/wordprocessingShape">
                    <wps:wsp>
                      <wps:cNvSpPr txBox="1"/>
                      <wps:spPr>
                        <a:xfrm>
                          <a:off x="0" y="0"/>
                          <a:ext cx="1873250" cy="438150"/>
                        </a:xfrm>
                        <a:prstGeom prst="rect">
                          <a:avLst/>
                        </a:prstGeom>
                        <a:solidFill>
                          <a:srgbClr val="FFFFFF"/>
                        </a:solidFill>
                        <a:ln>
                          <a:noFill/>
                        </a:ln>
                        <a:effectLst/>
                      </wps:spPr>
                      <wps:txbx>
                        <w:txbxContent>
                          <w:p w:rsidR="00477804" w:rsidRDefault="001E2B88">
                            <w:pPr>
                              <w:ind w:firstLineChars="0" w:firstLine="0"/>
                              <w:jc w:val="center"/>
                              <w:rPr>
                                <w:rFonts w:ascii="宋体" w:eastAsia="宋体" w:hAnsi="宋体"/>
                                <w:b/>
                                <w:bCs/>
                                <w:sz w:val="18"/>
                                <w:szCs w:val="18"/>
                              </w:rPr>
                            </w:pPr>
                            <w:r>
                              <w:rPr>
                                <w:rFonts w:ascii="宋体" w:eastAsia="宋体" w:hAnsi="宋体" w:hint="eastAsia"/>
                                <w:b/>
                                <w:bCs/>
                                <w:sz w:val="18"/>
                                <w:szCs w:val="18"/>
                              </w:rPr>
                              <w:t>户外认知活动</w:t>
                            </w:r>
                          </w:p>
                        </w:txbxContent>
                      </wps:txbx>
                      <wps:bodyPr upright="1"/>
                    </wps:wsp>
                  </a:graphicData>
                </a:graphic>
              </wp:anchor>
            </w:drawing>
          </mc:Choice>
          <mc:Fallback>
            <w:pict>
              <v:shapetype id="_x0000_t202" coordsize="21600,21600" o:spt="202" path="m,l,21600r21600,l21600,xe">
                <v:stroke joinstyle="miter"/>
                <v:path gradientshapeok="t" o:connecttype="rect"/>
              </v:shapetype>
              <v:shape id="文本框 9" o:spid="_x0000_s1026" type="#_x0000_t202" style="position:absolute;left:0;text-align:left;margin-left:277pt;margin-top:235.75pt;width:147.5pt;height:3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" stroked="f">
                <v:textbox>
                  <w:txbxContent>
                    <w:p w:rsidR="00477804" w:rsidRDefault="001E2B88">
                      <w:pPr>
                        <w:ind w:firstLineChars="0" w:firstLine="0"/>
                        <w:jc w:val="center"/>
                        <w:rPr>
                          <w:rFonts w:ascii="宋体" w:eastAsia="宋体" w:hAnsi="宋体"/>
                          <w:b/>
                          <w:bCs/>
                          <w:sz w:val="18"/>
                          <w:szCs w:val="18"/>
                        </w:rPr>
                      </w:pPr>
                      <w:r>
                        <w:rPr>
                          <w:rFonts w:ascii="宋体" w:eastAsia="宋体" w:hAnsi="宋体" w:hint="eastAsia"/>
                          <w:b/>
                          <w:bCs/>
                          <w:sz w:val="18"/>
                          <w:szCs w:val="18"/>
                        </w:rPr>
                        <w:t>户外认知活动</w:t>
                      </w:r>
                    </w:p>
                  </w:txbxContent>
                </v:textbox>
              </v:shape>
            </w:pict>
          </mc:Fallback>
        </mc:AlternateContent>
      </w:r>
      <w:r>
        <w:rPr>
          <w:rFonts w:ascii="仿宋" w:eastAsia="仿宋" w:hAnsi="仿宋"/>
          <w:noProof/>
          <w:kern w:val="44"/>
        </w:rPr>
        <mc:AlternateContent>
          <mc:Choice Requires="wps">
            <w:drawing>
              <wp:anchor distT="0" distB="0" distL="114300" distR="114300" simplePos="0" relativeHeight="251660288" behindDoc="0" locked="0" layoutInCell="1" allowOverlap="1">
                <wp:simplePos x="0" y="0"/>
                <wp:positionH relativeFrom="column">
                  <wp:posOffset>546100</wp:posOffset>
                </wp:positionH>
                <wp:positionV relativeFrom="paragraph">
                  <wp:posOffset>2994025</wp:posOffset>
                </wp:positionV>
                <wp:extent cx="1873250" cy="438150"/>
                <wp:effectExtent l="0" t="0" r="1270" b="3810"/>
                <wp:wrapNone/>
                <wp:docPr id="5" name="文本框 5"/>
                <wp:cNvGraphicFramePr/>
                <a:graphic xmlns:a="http://schemas.openxmlformats.org/drawingml/2006/main">
                  <a:graphicData uri="http://schemas.microsoft.com/office/word/2010/wordprocessingShape">
                    <wps:wsp>
                      <wps:cNvSpPr txBox="1"/>
                      <wps:spPr>
                        <a:xfrm>
                          <a:off x="0" y="0"/>
                          <a:ext cx="1873250" cy="438150"/>
                        </a:xfrm>
                        <a:prstGeom prst="rect">
                          <a:avLst/>
                        </a:prstGeom>
                        <a:solidFill>
                          <a:srgbClr val="FFFFFF"/>
                        </a:solidFill>
                        <a:ln>
                          <a:noFill/>
                        </a:ln>
                        <a:effectLst/>
                      </wps:spPr>
                      <wps:txbx>
                        <w:txbxContent>
                          <w:p w:rsidR="00477804" w:rsidRDefault="001E2B88">
                            <w:pPr>
                              <w:ind w:firstLineChars="500" w:firstLine="904"/>
                              <w:rPr>
                                <w:szCs w:val="18"/>
                              </w:rPr>
                            </w:pPr>
                            <w:r>
                              <w:rPr>
                                <w:rFonts w:ascii="宋体" w:eastAsia="宋体" w:hAnsi="宋体" w:hint="eastAsia"/>
                                <w:b/>
                                <w:bCs/>
                                <w:sz w:val="18"/>
                                <w:szCs w:val="18"/>
                              </w:rPr>
                              <w:t>中秋活动</w:t>
                            </w:r>
                          </w:p>
                        </w:txbxContent>
                      </wps:txbx>
                      <wps:bodyPr upright="1"/>
                    </wps:wsp>
                  </a:graphicData>
                </a:graphic>
              </wp:anchor>
            </w:drawing>
          </mc:Choice>
          <mc:Fallback>
            <w:pict>
              <v:shape id="文本框 5" o:spid="_x0000_s1027" type="#_x0000_t202" style="position:absolute;left:0;text-align:left;margin-left:43pt;margin-top:235.75pt;width:147.5pt;height:3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" stroked="f">
                <v:textbox>
                  <w:txbxContent>
                    <w:p w:rsidR="00477804" w:rsidRDefault="001E2B88">
                      <w:pPr>
                        <w:ind w:firstLineChars="500" w:firstLine="904"/>
                        <w:rPr>
                          <w:szCs w:val="18"/>
                        </w:rPr>
                      </w:pPr>
                      <w:r>
                        <w:rPr>
                          <w:rFonts w:ascii="宋体" w:eastAsia="宋体" w:hAnsi="宋体" w:hint="eastAsia"/>
                          <w:b/>
                          <w:bCs/>
                          <w:sz w:val="18"/>
                          <w:szCs w:val="18"/>
                        </w:rPr>
                        <w:t>中秋活动</w:t>
                      </w:r>
                    </w:p>
                  </w:txbxContent>
                </v:textbox>
              </v:shape>
            </w:pict>
          </mc:Fallback>
        </mc:AlternateContent>
      </w:r>
      <w:r>
        <w:rPr>
          <w:rFonts w:ascii="仿宋" w:eastAsia="仿宋" w:hAnsi="仿宋"/>
          <w:noProof/>
          <w:kern w:val="44"/>
        </w:rPr>
        <mc:AlternateContent>
          <mc:Choice Requires="wps">
            <w:drawing>
              <wp:anchor distT="0" distB="0" distL="114300" distR="114300" simplePos="0" relativeHeight="251659264" behindDoc="0" locked="0" layoutInCell="1" allowOverlap="1">
                <wp:simplePos x="0" y="0"/>
                <wp:positionH relativeFrom="column">
                  <wp:posOffset>5715</wp:posOffset>
                </wp:positionH>
                <wp:positionV relativeFrom="paragraph">
                  <wp:posOffset>155575</wp:posOffset>
                </wp:positionV>
                <wp:extent cx="5727065" cy="565150"/>
                <wp:effectExtent l="4445" t="4445" r="74930" b="70485"/>
                <wp:wrapTight wrapText="bothSides">
                  <wp:wrapPolygon edited="0">
                    <wp:start x="-17" y="-170"/>
                    <wp:lineTo x="-17" y="21964"/>
                    <wp:lineTo x="21653" y="21964"/>
                    <wp:lineTo x="21653" y="-170"/>
                    <wp:lineTo x="-17" y="-170"/>
                  </wp:wrapPolygon>
                </wp:wrapTight>
                <wp:docPr id="2" name="矩形 2"/>
                <wp:cNvGraphicFramePr/>
                <a:graphic xmlns:a="http://schemas.openxmlformats.org/drawingml/2006/main">
                  <a:graphicData uri="http://schemas.microsoft.com/office/word/2010/wordprocessingShape">
                    <wps:wsp>
                      <wps:cNvSpPr/>
                      <wps:spPr>
                        <a:xfrm>
                          <a:off x="0" y="0"/>
                          <a:ext cx="5727065" cy="565150"/>
                        </a:xfrm>
                        <a:prstGeom prst="rect">
                          <a:avLst/>
                        </a:prstGeom>
                        <a:solidFill>
                          <a:srgbClr val="993366"/>
                        </a:solidFill>
                        <a:ln w="9525" cap="flat" cmpd="sng">
                          <a:solidFill>
                            <a:srgbClr val="000000"/>
                          </a:solidFill>
                          <a:prstDash val="solid"/>
                          <a:miter/>
                          <a:headEnd type="none" w="med" len="med"/>
                          <a:tailEnd type="none" w="med" len="med"/>
                        </a:ln>
                        <a:effectLst>
                          <a:outerShdw dist="35921" dir="2699999" algn="ctr" rotWithShape="0">
                            <a:srgbClr val="808080"/>
                          </a:outerShdw>
                        </a:effectLst>
                      </wps:spPr>
                      <wps:txbx>
                        <w:txbxContent>
                          <w:p w:rsidR="00477804" w:rsidRDefault="001E2B88">
                            <w:pPr>
                              <w:tabs>
                                <w:tab w:val="left" w:pos="5760"/>
                              </w:tabs>
                              <w:spacing w:line="360" w:lineRule="auto"/>
                              <w:ind w:firstLineChars="0" w:firstLine="0"/>
                              <w:jc w:val="center"/>
                              <w:rPr>
                                <w:rFonts w:ascii="楷体_GB2312" w:eastAsia="楷体_GB2312" w:hAnsi="宋体"/>
                                <w:b/>
                                <w:color w:val="FFFFFF"/>
                                <w:sz w:val="36"/>
                                <w:szCs w:val="36"/>
                              </w:rPr>
                            </w:pPr>
                            <w:r>
                              <w:rPr>
                                <w:rFonts w:ascii="楷体_GB2312" w:eastAsia="楷体_GB2312" w:hAnsi="宋体" w:hint="eastAsia"/>
                                <w:b/>
                                <w:color w:val="FFFFFF"/>
                                <w:sz w:val="32"/>
                                <w:szCs w:val="32"/>
                              </w:rPr>
                              <w:t>北京市儿童福利院“政府供养保障对象生活费”项目绩效图片</w:t>
                            </w:r>
                          </w:p>
                          <w:p w:rsidR="00477804" w:rsidRDefault="00477804">
                            <w:pPr>
                              <w:ind w:firstLine="560"/>
                              <w:rPr>
                                <w:szCs w:val="36"/>
                              </w:rPr>
                            </w:pPr>
                          </w:p>
                        </w:txbxContent>
                      </wps:txbx>
                      <wps:bodyPr upright="1"/>
                    </wps:wsp>
                  </a:graphicData>
                </a:graphic>
              </wp:anchor>
            </w:drawing>
          </mc:Choice>
          <mc:Fallback>
            <w:pict>
              <v:rect id="矩形 2" o:spid="_x0000_s1028" style="position:absolute;left:0;text-align:left;margin-left:.45pt;margin-top:12.25pt;width:450.95pt;height: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" fillcolor="#936">
                <v:shadow on="t"/>
                <v:textbox>
                  <w:txbxContent>
                    <w:p w:rsidR="00477804" w:rsidRDefault="001E2B88">
                      <w:pPr>
                        <w:tabs>
                          <w:tab w:val="left" w:pos="5760"/>
                        </w:tabs>
                        <w:spacing w:line="360" w:lineRule="auto"/>
                        <w:ind w:firstLineChars="0" w:firstLine="0"/>
                        <w:jc w:val="center"/>
                        <w:rPr>
                          <w:rFonts w:ascii="楷体_GB2312" w:eastAsia="楷体_GB2312" w:hAnsi="宋体"/>
                          <w:b/>
                          <w:color w:val="FFFFFF"/>
                          <w:sz w:val="36"/>
                          <w:szCs w:val="36"/>
                        </w:rPr>
                      </w:pPr>
                      <w:r>
                        <w:rPr>
                          <w:rFonts w:ascii="楷体_GB2312" w:eastAsia="楷体_GB2312" w:hAnsi="宋体" w:hint="eastAsia"/>
                          <w:b/>
                          <w:color w:val="FFFFFF"/>
                          <w:sz w:val="32"/>
                          <w:szCs w:val="32"/>
                        </w:rPr>
                        <w:t>北京市儿童福利院“政府供养保障对象生活费”项目绩效图片</w:t>
                      </w:r>
                    </w:p>
                    <w:p w:rsidR="00477804" w:rsidRDefault="00477804">
                      <w:pPr>
                        <w:ind w:firstLine="560"/>
                        <w:rPr>
                          <w:szCs w:val="36"/>
                        </w:rPr>
                      </w:pPr>
                    </w:p>
                  </w:txbxContent>
                </v:textbox>
                <w10:wrap type="tight"/>
              </v:rect>
            </w:pict>
          </mc:Fallback>
        </mc:AlternateContent>
      </w:r>
    </w:p>
    <w:p w:rsidR="00477804" w:rsidRDefault="001E2B88">
      <w:pPr>
        <w:pStyle w:val="a3"/>
        <w:ind w:firstLineChars="0" w:firstLine="0"/>
        <w:rPr>
          <w:rFonts w:eastAsia="仿宋"/>
        </w:rPr>
      </w:pPr>
      <w:r>
        <w:rPr>
          <w:noProof/>
        </w:rPr>
        <w:drawing>
          <wp:anchor distT="0" distB="0" distL="0" distR="0" simplePos="0" relativeHeight="251668480" behindDoc="0" locked="0" layoutInCell="1" allowOverlap="1">
            <wp:simplePos x="0" y="0"/>
            <wp:positionH relativeFrom="column">
              <wp:posOffset>28575</wp:posOffset>
            </wp:positionH>
            <wp:positionV relativeFrom="paragraph">
              <wp:posOffset>214630</wp:posOffset>
            </wp:positionV>
            <wp:extent cx="2720975" cy="2040890"/>
            <wp:effectExtent l="0" t="0" r="6985" b="1270"/>
            <wp:wrapTopAndBottom/>
            <wp:docPr id="3" name="图片 2" descr="C:/Users/25474/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C:/Users/25474/Desktop/图片1.png图片1"/>
                    <pic:cNvPicPr>
                      <a:picLocks noChangeAspect="1"/>
                    </pic:cNvPicPr>
                  </pic:nvPicPr>
                  <pic:blipFill>
                    <a:blip r:embed="rId10"/>
                    <a:srcRect l="16" r="16"/>
                    <a:stretch>
                      <a:fillRect/>
                    </a:stretch>
                  </pic:blipFill>
                  <pic:spPr>
                    <a:xfrm>
                      <a:off x="0" y="0"/>
                      <a:ext cx="2720975" cy="2040890"/>
                    </a:xfrm>
                    <a:prstGeom prst="rect">
                      <a:avLst/>
                    </a:prstGeom>
                  </pic:spPr>
                </pic:pic>
              </a:graphicData>
            </a:graphic>
          </wp:anchor>
        </w:drawing>
      </w:r>
      <w:r>
        <w:rPr>
          <w:rFonts w:ascii="仿宋" w:eastAsia="仿宋" w:hAnsi="仿宋" w:hint="eastAsia"/>
          <w:noProof/>
          <w:kern w:val="44"/>
        </w:rPr>
        <w:drawing>
          <wp:anchor distT="0" distB="0" distL="114300" distR="114300" simplePos="0" relativeHeight="251666432" behindDoc="0" locked="0" layoutInCell="1" allowOverlap="1">
            <wp:simplePos x="0" y="0"/>
            <wp:positionH relativeFrom="column">
              <wp:posOffset>3187700</wp:posOffset>
            </wp:positionH>
            <wp:positionV relativeFrom="paragraph">
              <wp:posOffset>285750</wp:posOffset>
            </wp:positionV>
            <wp:extent cx="2607310" cy="1926590"/>
            <wp:effectExtent l="0" t="0" r="13970" b="8890"/>
            <wp:wrapTopAndBottom/>
            <wp:docPr id="15" name="图片 15" descr="C:/Users/25474/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25474/Desktop/图片1.png图片1"/>
                    <pic:cNvPicPr>
                      <a:picLocks noChangeAspect="1"/>
                    </pic:cNvPicPr>
                  </pic:nvPicPr>
                  <pic:blipFill>
                    <a:blip r:embed="rId11"/>
                    <a:srcRect t="804" b="804"/>
                    <a:stretch>
                      <a:fillRect/>
                    </a:stretch>
                  </pic:blipFill>
                  <pic:spPr>
                    <a:xfrm>
                      <a:off x="0" y="0"/>
                      <a:ext cx="2607310" cy="1926590"/>
                    </a:xfrm>
                    <a:prstGeom prst="rect">
                      <a:avLst/>
                    </a:prstGeom>
                  </pic:spPr>
                </pic:pic>
              </a:graphicData>
            </a:graphic>
          </wp:anchor>
        </w:drawing>
      </w:r>
      <w:r>
        <w:rPr>
          <w:rFonts w:ascii="仿宋" w:eastAsia="仿宋" w:hAnsi="仿宋"/>
          <w:noProof/>
          <w:kern w:val="44"/>
        </w:rPr>
        <mc:AlternateContent>
          <mc:Choice Requires="wps">
            <w:drawing>
              <wp:anchor distT="0" distB="0" distL="114300" distR="114300" simplePos="0" relativeHeight="251663360" behindDoc="0" locked="0" layoutInCell="1" allowOverlap="1">
                <wp:simplePos x="0" y="0"/>
                <wp:positionH relativeFrom="column">
                  <wp:posOffset>3660775</wp:posOffset>
                </wp:positionH>
                <wp:positionV relativeFrom="paragraph">
                  <wp:posOffset>2218690</wp:posOffset>
                </wp:positionV>
                <wp:extent cx="1873250" cy="438150"/>
                <wp:effectExtent l="0" t="0" r="1270" b="3810"/>
                <wp:wrapNone/>
                <wp:docPr id="12" name="文本框 12"/>
                <wp:cNvGraphicFramePr/>
                <a:graphic xmlns:a="http://schemas.openxmlformats.org/drawingml/2006/main">
                  <a:graphicData uri="http://schemas.microsoft.com/office/word/2010/wordprocessingShape">
                    <wps:wsp>
                      <wps:cNvSpPr txBox="1"/>
                      <wps:spPr>
                        <a:xfrm>
                          <a:off x="0" y="0"/>
                          <a:ext cx="1873250" cy="438150"/>
                        </a:xfrm>
                        <a:prstGeom prst="rect">
                          <a:avLst/>
                        </a:prstGeom>
                        <a:solidFill>
                          <a:srgbClr val="FFFFFF"/>
                        </a:solidFill>
                        <a:ln>
                          <a:noFill/>
                        </a:ln>
                        <a:effectLst/>
                      </wps:spPr>
                      <wps:txbx>
                        <w:txbxContent>
                          <w:p w:rsidR="00477804" w:rsidRDefault="001E2B88">
                            <w:pPr>
                              <w:ind w:firstLineChars="500" w:firstLine="904"/>
                              <w:rPr>
                                <w:szCs w:val="18"/>
                              </w:rPr>
                            </w:pPr>
                            <w:r>
                              <w:rPr>
                                <w:rFonts w:ascii="宋体" w:eastAsia="宋体" w:hAnsi="宋体" w:hint="eastAsia"/>
                                <w:b/>
                                <w:bCs/>
                                <w:sz w:val="18"/>
                                <w:szCs w:val="18"/>
                              </w:rPr>
                              <w:t>日常照料</w:t>
                            </w:r>
                          </w:p>
                        </w:txbxContent>
                      </wps:txbx>
                      <wps:bodyPr upright="1"/>
                    </wps:wsp>
                  </a:graphicData>
                </a:graphic>
              </wp:anchor>
            </w:drawing>
          </mc:Choice>
          <mc:Fallback>
            <w:pict>
              <v:shape id="文本框 12" o:spid="_x0000_s1029" type="#_x0000_t202" style="position:absolute;left:0;text-align:left;margin-left:288.25pt;margin-top:174.7pt;width:147.5pt;height:34.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" stroked="f">
                <v:textbox>
                  <w:txbxContent>
                    <w:p w:rsidR="00477804" w:rsidRDefault="001E2B88">
                      <w:pPr>
                        <w:ind w:firstLineChars="500" w:firstLine="904"/>
                        <w:rPr>
                          <w:szCs w:val="18"/>
                        </w:rPr>
                      </w:pPr>
                      <w:r>
                        <w:rPr>
                          <w:rFonts w:ascii="宋体" w:eastAsia="宋体" w:hAnsi="宋体" w:hint="eastAsia"/>
                          <w:b/>
                          <w:bCs/>
                          <w:sz w:val="18"/>
                          <w:szCs w:val="18"/>
                        </w:rPr>
                        <w:t>日常照料</w:t>
                      </w:r>
                    </w:p>
                  </w:txbxContent>
                </v:textbox>
              </v:shape>
            </w:pict>
          </mc:Fallback>
        </mc:AlternateContent>
      </w:r>
      <w:r>
        <w:rPr>
          <w:rFonts w:ascii="仿宋" w:eastAsia="仿宋" w:hAnsi="仿宋"/>
          <w:noProof/>
          <w:kern w:val="44"/>
        </w:rPr>
        <mc:AlternateContent>
          <mc:Choice Requires="wps">
            <w:drawing>
              <wp:anchor distT="0" distB="0" distL="114300" distR="114300" simplePos="0" relativeHeight="251662336" behindDoc="0" locked="0" layoutInCell="1" allowOverlap="1">
                <wp:simplePos x="0" y="0"/>
                <wp:positionH relativeFrom="column">
                  <wp:posOffset>488950</wp:posOffset>
                </wp:positionH>
                <wp:positionV relativeFrom="paragraph">
                  <wp:posOffset>2250440</wp:posOffset>
                </wp:positionV>
                <wp:extent cx="1873250" cy="438150"/>
                <wp:effectExtent l="0" t="0" r="1270" b="3810"/>
                <wp:wrapNone/>
                <wp:docPr id="10" name="文本框 10"/>
                <wp:cNvGraphicFramePr/>
                <a:graphic xmlns:a="http://schemas.openxmlformats.org/drawingml/2006/main">
                  <a:graphicData uri="http://schemas.microsoft.com/office/word/2010/wordprocessingShape">
                    <wps:wsp>
                      <wps:cNvSpPr txBox="1"/>
                      <wps:spPr>
                        <a:xfrm>
                          <a:off x="0" y="0"/>
                          <a:ext cx="1873250" cy="438150"/>
                        </a:xfrm>
                        <a:prstGeom prst="rect">
                          <a:avLst/>
                        </a:prstGeom>
                        <a:solidFill>
                          <a:srgbClr val="FFFFFF"/>
                        </a:solidFill>
                        <a:ln>
                          <a:noFill/>
                        </a:ln>
                        <a:effectLst/>
                      </wps:spPr>
                      <wps:txbx>
                        <w:txbxContent>
                          <w:p w:rsidR="00477804" w:rsidRDefault="001E2B88">
                            <w:pPr>
                              <w:ind w:firstLineChars="0" w:firstLine="0"/>
                              <w:jc w:val="center"/>
                              <w:rPr>
                                <w:rFonts w:ascii="宋体" w:eastAsia="宋体" w:hAnsi="宋体"/>
                                <w:b/>
                                <w:bCs/>
                                <w:sz w:val="18"/>
                                <w:szCs w:val="18"/>
                              </w:rPr>
                            </w:pPr>
                            <w:r>
                              <w:rPr>
                                <w:rFonts w:ascii="宋体" w:eastAsia="宋体" w:hAnsi="宋体" w:hint="eastAsia"/>
                                <w:b/>
                                <w:bCs/>
                                <w:sz w:val="18"/>
                                <w:szCs w:val="18"/>
                              </w:rPr>
                              <w:t>沟通板训练</w:t>
                            </w:r>
                          </w:p>
                          <w:p w:rsidR="00477804" w:rsidRDefault="00477804">
                            <w:pPr>
                              <w:ind w:firstLine="361"/>
                              <w:rPr>
                                <w:rFonts w:ascii="宋体" w:eastAsia="宋体" w:hAnsi="宋体"/>
                                <w:b/>
                                <w:bCs/>
                                <w:sz w:val="18"/>
                                <w:szCs w:val="18"/>
                              </w:rPr>
                            </w:pPr>
                          </w:p>
                        </w:txbxContent>
                      </wps:txbx>
                      <wps:bodyPr upright="1"/>
                    </wps:wsp>
                  </a:graphicData>
                </a:graphic>
              </wp:anchor>
            </w:drawing>
          </mc:Choice>
          <mc:Fallback>
            <w:pict>
              <v:shape id="文本框 10" o:spid="_x0000_s1030" type="#_x0000_t202" style="position:absolute;left:0;text-align:left;margin-left:38.5pt;margin-top:177.2pt;width:147.5pt;height:34.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" stroked="f">
                <v:textbox>
                  <w:txbxContent>
                    <w:p w:rsidR="00477804" w:rsidRDefault="001E2B88">
                      <w:pPr>
                        <w:ind w:firstLineChars="0" w:firstLine="0"/>
                        <w:jc w:val="center"/>
                        <w:rPr>
                          <w:rFonts w:ascii="宋体" w:eastAsia="宋体" w:hAnsi="宋体"/>
                          <w:b/>
                          <w:bCs/>
                          <w:sz w:val="18"/>
                          <w:szCs w:val="18"/>
                        </w:rPr>
                      </w:pPr>
                      <w:r>
                        <w:rPr>
                          <w:rFonts w:ascii="宋体" w:eastAsia="宋体" w:hAnsi="宋体" w:hint="eastAsia"/>
                          <w:b/>
                          <w:bCs/>
                          <w:sz w:val="18"/>
                          <w:szCs w:val="18"/>
                        </w:rPr>
                        <w:t>沟通板训练</w:t>
                      </w:r>
                    </w:p>
                    <w:p w:rsidR="00477804" w:rsidRDefault="00477804">
                      <w:pPr>
                        <w:ind w:firstLine="361"/>
                        <w:rPr>
                          <w:rFonts w:ascii="宋体" w:eastAsia="宋体" w:hAnsi="宋体"/>
                          <w:b/>
                          <w:bCs/>
                          <w:sz w:val="18"/>
                          <w:szCs w:val="18"/>
                        </w:rPr>
                      </w:pPr>
                    </w:p>
                  </w:txbxContent>
                </v:textbox>
              </v:shape>
            </w:pict>
          </mc:Fallback>
        </mc:AlternateContent>
      </w:r>
    </w:p>
    <w:p w:rsidR="00477804" w:rsidRDefault="001E2B88">
      <w:pPr>
        <w:pStyle w:val="a3"/>
        <w:ind w:firstLineChars="0" w:firstLine="0"/>
        <w:rPr>
          <w:rFonts w:eastAsia="仿宋"/>
        </w:rPr>
      </w:pPr>
      <w:r>
        <w:rPr>
          <w:rFonts w:ascii="仿宋" w:eastAsia="仿宋" w:hAnsi="仿宋" w:hint="eastAsia"/>
          <w:noProof/>
          <w:kern w:val="44"/>
        </w:rPr>
        <w:lastRenderedPageBreak/>
        <w:drawing>
          <wp:anchor distT="0" distB="0" distL="114300" distR="114300" simplePos="0" relativeHeight="251670528" behindDoc="0" locked="0" layoutInCell="1" allowOverlap="1">
            <wp:simplePos x="0" y="0"/>
            <wp:positionH relativeFrom="column">
              <wp:posOffset>3281045</wp:posOffset>
            </wp:positionH>
            <wp:positionV relativeFrom="paragraph">
              <wp:posOffset>285115</wp:posOffset>
            </wp:positionV>
            <wp:extent cx="2599690" cy="1949450"/>
            <wp:effectExtent l="0" t="0" r="6350" b="1270"/>
            <wp:wrapTopAndBottom/>
            <wp:docPr id="18" name="图片 18" descr="C:/Users/25474/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25474/Desktop/图片1.png图片1"/>
                    <pic:cNvPicPr>
                      <a:picLocks noChangeAspect="1"/>
                    </pic:cNvPicPr>
                  </pic:nvPicPr>
                  <pic:blipFill>
                    <a:blip r:embed="rId12"/>
                    <a:srcRect t="49" b="49"/>
                    <a:stretch>
                      <a:fillRect/>
                    </a:stretch>
                  </pic:blipFill>
                  <pic:spPr>
                    <a:xfrm>
                      <a:off x="0" y="0"/>
                      <a:ext cx="2599690" cy="1949450"/>
                    </a:xfrm>
                    <a:prstGeom prst="rect">
                      <a:avLst/>
                    </a:prstGeom>
                  </pic:spPr>
                </pic:pic>
              </a:graphicData>
            </a:graphic>
          </wp:anchor>
        </w:drawing>
      </w:r>
      <w:r>
        <w:rPr>
          <w:rFonts w:ascii="仿宋" w:eastAsia="仿宋" w:hAnsi="仿宋" w:hint="eastAsia"/>
          <w:noProof/>
          <w:kern w:val="44"/>
        </w:rPr>
        <w:drawing>
          <wp:anchor distT="0" distB="0" distL="114300" distR="114300" simplePos="0" relativeHeight="251669504" behindDoc="0" locked="0" layoutInCell="1" allowOverlap="1">
            <wp:simplePos x="0" y="0"/>
            <wp:positionH relativeFrom="column">
              <wp:posOffset>50800</wp:posOffset>
            </wp:positionH>
            <wp:positionV relativeFrom="paragraph">
              <wp:posOffset>255270</wp:posOffset>
            </wp:positionV>
            <wp:extent cx="2680970" cy="2009775"/>
            <wp:effectExtent l="0" t="0" r="1270" b="1905"/>
            <wp:wrapTopAndBottom/>
            <wp:docPr id="17" name="图片 17" descr="C:/Users/25474/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25474/Desktop/图片1.png图片1"/>
                    <pic:cNvPicPr>
                      <a:picLocks noChangeAspect="1"/>
                    </pic:cNvPicPr>
                  </pic:nvPicPr>
                  <pic:blipFill>
                    <a:blip r:embed="rId13"/>
                    <a:srcRect l="5545" r="5545"/>
                    <a:stretch>
                      <a:fillRect/>
                    </a:stretch>
                  </pic:blipFill>
                  <pic:spPr>
                    <a:xfrm>
                      <a:off x="0" y="0"/>
                      <a:ext cx="2680970" cy="2009775"/>
                    </a:xfrm>
                    <a:prstGeom prst="rect">
                      <a:avLst/>
                    </a:prstGeom>
                  </pic:spPr>
                </pic:pic>
              </a:graphicData>
            </a:graphic>
          </wp:anchor>
        </w:drawing>
      </w:r>
      <w:r>
        <w:rPr>
          <w:rFonts w:ascii="仿宋" w:eastAsia="仿宋" w:hAnsi="仿宋"/>
          <w:noProof/>
          <w:kern w:val="44"/>
        </w:rPr>
        <mc:AlternateContent>
          <mc:Choice Requires="wps">
            <w:drawing>
              <wp:anchor distT="0" distB="0" distL="114300" distR="114300" simplePos="0" relativeHeight="251671552" behindDoc="0" locked="0" layoutInCell="1" allowOverlap="1">
                <wp:simplePos x="0" y="0"/>
                <wp:positionH relativeFrom="column">
                  <wp:posOffset>3717925</wp:posOffset>
                </wp:positionH>
                <wp:positionV relativeFrom="paragraph">
                  <wp:posOffset>2232660</wp:posOffset>
                </wp:positionV>
                <wp:extent cx="1873250" cy="438150"/>
                <wp:effectExtent l="0" t="0" r="1270" b="3810"/>
                <wp:wrapNone/>
                <wp:docPr id="20" name="文本框 20"/>
                <wp:cNvGraphicFramePr/>
                <a:graphic xmlns:a="http://schemas.openxmlformats.org/drawingml/2006/main">
                  <a:graphicData uri="http://schemas.microsoft.com/office/word/2010/wordprocessingShape">
                    <wps:wsp>
                      <wps:cNvSpPr txBox="1"/>
                      <wps:spPr>
                        <a:xfrm>
                          <a:off x="0" y="0"/>
                          <a:ext cx="1873250" cy="438150"/>
                        </a:xfrm>
                        <a:prstGeom prst="rect">
                          <a:avLst/>
                        </a:prstGeom>
                        <a:solidFill>
                          <a:srgbClr val="FFFFFF"/>
                        </a:solidFill>
                        <a:ln>
                          <a:noFill/>
                        </a:ln>
                        <a:effectLst/>
                      </wps:spPr>
                      <wps:txbx>
                        <w:txbxContent>
                          <w:p w:rsidR="00477804" w:rsidRDefault="001E2B88">
                            <w:pPr>
                              <w:ind w:firstLineChars="500" w:firstLine="904"/>
                              <w:rPr>
                                <w:szCs w:val="18"/>
                              </w:rPr>
                            </w:pPr>
                            <w:r>
                              <w:rPr>
                                <w:rFonts w:ascii="宋体" w:eastAsia="宋体" w:hAnsi="宋体" w:hint="eastAsia"/>
                                <w:b/>
                                <w:bCs/>
                                <w:sz w:val="18"/>
                                <w:szCs w:val="18"/>
                              </w:rPr>
                              <w:t>教育服务</w:t>
                            </w:r>
                          </w:p>
                        </w:txbxContent>
                      </wps:txbx>
                      <wps:bodyPr upright="1"/>
                    </wps:wsp>
                  </a:graphicData>
                </a:graphic>
              </wp:anchor>
            </w:drawing>
          </mc:Choice>
          <mc:Fallback>
            <w:pict>
              <v:shape id="文本框 20" o:spid="_x0000_s1031" type="#_x0000_t202" style="position:absolute;left:0;text-align:left;margin-left:292.75pt;margin-top:175.8pt;width:147.5pt;height:34.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" stroked="f">
                <v:textbox>
                  <w:txbxContent>
                    <w:p w:rsidR="00477804" w:rsidRDefault="001E2B88">
                      <w:pPr>
                        <w:ind w:firstLineChars="500" w:firstLine="904"/>
                        <w:rPr>
                          <w:szCs w:val="18"/>
                        </w:rPr>
                      </w:pPr>
                      <w:r>
                        <w:rPr>
                          <w:rFonts w:ascii="宋体" w:eastAsia="宋体" w:hAnsi="宋体" w:hint="eastAsia"/>
                          <w:b/>
                          <w:bCs/>
                          <w:sz w:val="18"/>
                          <w:szCs w:val="18"/>
                        </w:rPr>
                        <w:t>教育服务</w:t>
                      </w:r>
                    </w:p>
                  </w:txbxContent>
                </v:textbox>
              </v:shape>
            </w:pict>
          </mc:Fallback>
        </mc:AlternateContent>
      </w:r>
      <w:r>
        <w:rPr>
          <w:rFonts w:ascii="仿宋" w:eastAsia="仿宋" w:hAnsi="仿宋"/>
          <w:noProof/>
          <w:kern w:val="44"/>
        </w:rPr>
        <mc:AlternateContent>
          <mc:Choice Requires="wps">
            <w:drawing>
              <wp:anchor distT="0" distB="0" distL="114300" distR="114300" simplePos="0" relativeHeight="251664384" behindDoc="0" locked="0" layoutInCell="1" allowOverlap="1">
                <wp:simplePos x="0" y="0"/>
                <wp:positionH relativeFrom="column">
                  <wp:posOffset>498475</wp:posOffset>
                </wp:positionH>
                <wp:positionV relativeFrom="paragraph">
                  <wp:posOffset>2251710</wp:posOffset>
                </wp:positionV>
                <wp:extent cx="1873250" cy="438150"/>
                <wp:effectExtent l="0" t="0" r="1270" b="3810"/>
                <wp:wrapNone/>
                <wp:docPr id="14" name="文本框 14"/>
                <wp:cNvGraphicFramePr/>
                <a:graphic xmlns:a="http://schemas.openxmlformats.org/drawingml/2006/main">
                  <a:graphicData uri="http://schemas.microsoft.com/office/word/2010/wordprocessingShape">
                    <wps:wsp>
                      <wps:cNvSpPr txBox="1"/>
                      <wps:spPr>
                        <a:xfrm>
                          <a:off x="0" y="0"/>
                          <a:ext cx="1873250" cy="438150"/>
                        </a:xfrm>
                        <a:prstGeom prst="rect">
                          <a:avLst/>
                        </a:prstGeom>
                        <a:solidFill>
                          <a:srgbClr val="FFFFFF"/>
                        </a:solidFill>
                        <a:ln>
                          <a:noFill/>
                        </a:ln>
                        <a:effectLst/>
                      </wps:spPr>
                      <wps:txbx>
                        <w:txbxContent>
                          <w:p w:rsidR="00477804" w:rsidRDefault="001E2B88">
                            <w:pPr>
                              <w:ind w:firstLineChars="500" w:firstLine="904"/>
                              <w:rPr>
                                <w:szCs w:val="18"/>
                              </w:rPr>
                            </w:pPr>
                            <w:r>
                              <w:rPr>
                                <w:rFonts w:ascii="宋体" w:eastAsia="宋体" w:hAnsi="宋体" w:hint="eastAsia"/>
                                <w:b/>
                                <w:bCs/>
                                <w:sz w:val="18"/>
                                <w:szCs w:val="18"/>
                              </w:rPr>
                              <w:t>医疗服务</w:t>
                            </w:r>
                          </w:p>
                        </w:txbxContent>
                      </wps:txbx>
                      <wps:bodyPr upright="1"/>
                    </wps:wsp>
                  </a:graphicData>
                </a:graphic>
              </wp:anchor>
            </w:drawing>
          </mc:Choice>
          <mc:Fallback>
            <w:pict>
              <v:shape id="文本框 14" o:spid="_x0000_s1032" type="#_x0000_t202" style="position:absolute;left:0;text-align:left;margin-left:39.25pt;margin-top:177.3pt;width:147.5pt;height:3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" stroked="f">
                <v:textbox>
                  <w:txbxContent>
                    <w:p w:rsidR="00477804" w:rsidRDefault="001E2B88">
                      <w:pPr>
                        <w:ind w:firstLineChars="500" w:firstLine="904"/>
                        <w:rPr>
                          <w:szCs w:val="18"/>
                        </w:rPr>
                      </w:pPr>
                      <w:r>
                        <w:rPr>
                          <w:rFonts w:ascii="宋体" w:eastAsia="宋体" w:hAnsi="宋体" w:hint="eastAsia"/>
                          <w:b/>
                          <w:bCs/>
                          <w:sz w:val="18"/>
                          <w:szCs w:val="18"/>
                        </w:rPr>
                        <w:t>医疗服务</w:t>
                      </w:r>
                    </w:p>
                  </w:txbxContent>
                </v:textbox>
              </v:shape>
            </w:pict>
          </mc:Fallback>
        </mc:AlternateContent>
      </w:r>
    </w:p>
    <w:p w:rsidR="00477804" w:rsidRDefault="001E2B88">
      <w:pPr>
        <w:spacing w:afterLines="100" w:after="312" w:line="360" w:lineRule="auto"/>
        <w:ind w:firstLineChars="0" w:firstLine="0"/>
        <w:jc w:val="center"/>
        <w:rPr>
          <w:rFonts w:ascii="仿宋" w:eastAsia="仿宋" w:hAnsi="仿宋"/>
          <w:szCs w:val="28"/>
        </w:rPr>
      </w:pPr>
      <w:r>
        <w:rPr>
          <w:rFonts w:eastAsia="仿宋"/>
        </w:rPr>
        <w:br w:type="page"/>
      </w:r>
      <w:r>
        <w:rPr>
          <w:rFonts w:ascii="仿宋" w:eastAsia="仿宋" w:hAnsi="仿宋" w:hint="eastAsia"/>
          <w:b/>
          <w:sz w:val="44"/>
          <w:szCs w:val="24"/>
        </w:rPr>
        <w:lastRenderedPageBreak/>
        <w:t>目</w:t>
      </w:r>
      <w:r>
        <w:rPr>
          <w:rFonts w:ascii="仿宋" w:eastAsia="仿宋" w:hAnsi="仿宋" w:hint="eastAsia"/>
          <w:b/>
          <w:sz w:val="44"/>
          <w:szCs w:val="24"/>
        </w:rPr>
        <w:t xml:space="preserve">  </w:t>
      </w:r>
      <w:r>
        <w:rPr>
          <w:rFonts w:ascii="仿宋" w:eastAsia="仿宋" w:hAnsi="仿宋" w:hint="eastAsia"/>
          <w:b/>
          <w:sz w:val="44"/>
          <w:szCs w:val="24"/>
        </w:rPr>
        <w:t>录</w:t>
      </w:r>
      <w:r>
        <w:rPr>
          <w:rFonts w:ascii="仿宋" w:eastAsia="仿宋" w:hAnsi="仿宋"/>
          <w:b/>
          <w:szCs w:val="28"/>
        </w:rPr>
        <w:fldChar w:fldCharType="begin"/>
      </w:r>
      <w:r>
        <w:rPr>
          <w:rFonts w:ascii="仿宋" w:eastAsia="仿宋" w:hAnsi="仿宋"/>
          <w:b/>
          <w:szCs w:val="28"/>
        </w:rPr>
        <w:instrText xml:space="preserve"> </w:instrText>
      </w:r>
      <w:r>
        <w:rPr>
          <w:rFonts w:ascii="仿宋" w:eastAsia="仿宋" w:hAnsi="仿宋" w:hint="eastAsia"/>
          <w:b/>
          <w:szCs w:val="28"/>
        </w:rPr>
        <w:instrText>TOC \o "1-3" \h \z \u</w:instrText>
      </w:r>
      <w:r>
        <w:rPr>
          <w:rFonts w:ascii="仿宋" w:eastAsia="仿宋" w:hAnsi="仿宋"/>
          <w:b/>
          <w:szCs w:val="28"/>
        </w:rPr>
        <w:instrText xml:space="preserve"> </w:instrText>
      </w:r>
      <w:r>
        <w:rPr>
          <w:rFonts w:ascii="仿宋" w:eastAsia="仿宋" w:hAnsi="仿宋"/>
          <w:b/>
          <w:szCs w:val="28"/>
        </w:rPr>
        <w:fldChar w:fldCharType="separate"/>
      </w:r>
    </w:p>
    <w:p w:rsidR="00477804" w:rsidRDefault="001E2B88">
      <w:pPr>
        <w:pStyle w:val="1"/>
        <w:tabs>
          <w:tab w:val="clear" w:pos="8302"/>
          <w:tab w:val="right" w:leader="dot" w:pos="8306"/>
        </w:tabs>
        <w:spacing w:line="360" w:lineRule="auto"/>
      </w:pPr>
      <w:hyperlink w:anchor="_Toc27824" w:history="1">
        <w:r>
          <w:rPr>
            <w:rFonts w:hAnsi="黑体" w:cs="黑体" w:hint="eastAsia"/>
            <w:szCs w:val="32"/>
          </w:rPr>
          <w:t>一、基本情况</w:t>
        </w:r>
        <w:r>
          <w:tab/>
        </w:r>
        <w:r>
          <w:fldChar w:fldCharType="begin"/>
        </w:r>
        <w:r>
          <w:instrText xml:space="preserve"> PAGEREF _Toc27824 \h </w:instrText>
        </w:r>
        <w:r>
          <w:fldChar w:fldCharType="separate"/>
        </w:r>
        <w:r>
          <w:t>1</w:t>
        </w:r>
        <w:r>
          <w:fldChar w:fldCharType="end"/>
        </w:r>
      </w:hyperlink>
    </w:p>
    <w:p w:rsidR="00477804" w:rsidRDefault="001E2B88">
      <w:pPr>
        <w:pStyle w:val="2"/>
        <w:tabs>
          <w:tab w:val="right" w:leader="dot" w:pos="8306"/>
        </w:tabs>
        <w:spacing w:line="360" w:lineRule="auto"/>
        <w:ind w:left="560" w:firstLine="560"/>
      </w:pPr>
      <w:hyperlink w:anchor="_Toc24526" w:history="1">
        <w:r>
          <w:rPr>
            <w:rFonts w:ascii="仿宋_GB2312" w:hAnsi="仿宋_GB2312" w:cs="仿宋_GB2312" w:hint="eastAsia"/>
            <w:szCs w:val="32"/>
          </w:rPr>
          <w:t>（一）项目概况</w:t>
        </w:r>
        <w:r>
          <w:tab/>
        </w:r>
        <w:r>
          <w:fldChar w:fldCharType="begin"/>
        </w:r>
        <w:r>
          <w:instrText xml:space="preserve"> PAGEREF _Toc24526 \h </w:instrText>
        </w:r>
        <w:r>
          <w:fldChar w:fldCharType="separate"/>
        </w:r>
        <w:r>
          <w:t>1</w:t>
        </w:r>
        <w:r>
          <w:fldChar w:fldCharType="end"/>
        </w:r>
      </w:hyperlink>
    </w:p>
    <w:p w:rsidR="00477804" w:rsidRDefault="001E2B88">
      <w:pPr>
        <w:pStyle w:val="2"/>
        <w:tabs>
          <w:tab w:val="right" w:leader="dot" w:pos="8306"/>
        </w:tabs>
        <w:spacing w:line="360" w:lineRule="auto"/>
        <w:ind w:left="560" w:firstLine="560"/>
      </w:pPr>
      <w:hyperlink w:anchor="_Toc23509" w:history="1">
        <w:r>
          <w:rPr>
            <w:rFonts w:ascii="仿宋_GB2312" w:hAnsi="仿宋_GB2312" w:cs="仿宋_GB2312" w:hint="eastAsia"/>
            <w:szCs w:val="32"/>
          </w:rPr>
          <w:t>（二）项目绩效目标</w:t>
        </w:r>
        <w:r>
          <w:tab/>
        </w:r>
        <w:r>
          <w:fldChar w:fldCharType="begin"/>
        </w:r>
        <w:r>
          <w:instrText xml:space="preserve"> PAGEREF _Toc23509 \h </w:instrText>
        </w:r>
        <w:r>
          <w:fldChar w:fldCharType="separate"/>
        </w:r>
        <w:r>
          <w:t>3</w:t>
        </w:r>
        <w:r>
          <w:fldChar w:fldCharType="end"/>
        </w:r>
      </w:hyperlink>
    </w:p>
    <w:p w:rsidR="00477804" w:rsidRDefault="001E2B88">
      <w:pPr>
        <w:pStyle w:val="1"/>
        <w:tabs>
          <w:tab w:val="clear" w:pos="8302"/>
          <w:tab w:val="right" w:leader="dot" w:pos="8306"/>
        </w:tabs>
        <w:spacing w:line="360" w:lineRule="auto"/>
      </w:pPr>
      <w:hyperlink w:anchor="_Toc23183" w:history="1">
        <w:r>
          <w:rPr>
            <w:rFonts w:hAnsi="黑体" w:cs="黑体" w:hint="eastAsia"/>
            <w:szCs w:val="32"/>
          </w:rPr>
          <w:t>二、绩效评价工作开展情况</w:t>
        </w:r>
        <w:r>
          <w:tab/>
        </w:r>
        <w:r>
          <w:fldChar w:fldCharType="begin"/>
        </w:r>
        <w:r>
          <w:instrText xml:space="preserve"> PAGEREF _Toc23183 \h </w:instrText>
        </w:r>
        <w:r>
          <w:fldChar w:fldCharType="separate"/>
        </w:r>
        <w:r>
          <w:t>4</w:t>
        </w:r>
        <w:r>
          <w:fldChar w:fldCharType="end"/>
        </w:r>
      </w:hyperlink>
    </w:p>
    <w:p w:rsidR="00477804" w:rsidRDefault="001E2B88">
      <w:pPr>
        <w:pStyle w:val="2"/>
        <w:tabs>
          <w:tab w:val="right" w:leader="dot" w:pos="8306"/>
        </w:tabs>
        <w:spacing w:line="360" w:lineRule="auto"/>
        <w:ind w:left="560" w:firstLine="560"/>
      </w:pPr>
      <w:hyperlink w:anchor="_Toc27938" w:history="1">
        <w:r>
          <w:rPr>
            <w:rFonts w:ascii="仿宋_GB2312" w:hAnsi="仿宋_GB2312" w:cs="仿宋_GB2312" w:hint="eastAsia"/>
            <w:szCs w:val="32"/>
          </w:rPr>
          <w:t>（一）绩效评价目的、对象和范围</w:t>
        </w:r>
        <w:r>
          <w:tab/>
        </w:r>
        <w:r>
          <w:fldChar w:fldCharType="begin"/>
        </w:r>
        <w:r>
          <w:instrText xml:space="preserve"> PAGEREF _Toc27938 \h </w:instrText>
        </w:r>
        <w:r>
          <w:fldChar w:fldCharType="separate"/>
        </w:r>
        <w:r>
          <w:t>4</w:t>
        </w:r>
        <w:r>
          <w:fldChar w:fldCharType="end"/>
        </w:r>
      </w:hyperlink>
    </w:p>
    <w:p w:rsidR="00477804" w:rsidRDefault="001E2B88">
      <w:pPr>
        <w:pStyle w:val="2"/>
        <w:tabs>
          <w:tab w:val="right" w:leader="dot" w:pos="8306"/>
        </w:tabs>
        <w:spacing w:line="360" w:lineRule="auto"/>
        <w:ind w:left="560" w:firstLine="560"/>
      </w:pPr>
      <w:hyperlink w:anchor="_Toc5017" w:history="1">
        <w:r>
          <w:rPr>
            <w:rFonts w:ascii="仿宋_GB2312" w:hAnsi="仿宋_GB2312" w:cs="仿宋_GB2312" w:hint="eastAsia"/>
            <w:szCs w:val="32"/>
          </w:rPr>
          <w:t>（二）绩效评价原则、评价指标体系（附表说明）、评价方法、评价标准等</w:t>
        </w:r>
        <w:r>
          <w:tab/>
        </w:r>
        <w:r>
          <w:fldChar w:fldCharType="begin"/>
        </w:r>
        <w:r>
          <w:instrText xml:space="preserve"> PAGEREF _Toc5017 \h </w:instrText>
        </w:r>
        <w:r>
          <w:fldChar w:fldCharType="separate"/>
        </w:r>
        <w:r>
          <w:t>5</w:t>
        </w:r>
        <w:r>
          <w:fldChar w:fldCharType="end"/>
        </w:r>
      </w:hyperlink>
    </w:p>
    <w:p w:rsidR="00477804" w:rsidRDefault="001E2B88">
      <w:pPr>
        <w:pStyle w:val="2"/>
        <w:tabs>
          <w:tab w:val="right" w:leader="dot" w:pos="8306"/>
        </w:tabs>
        <w:spacing w:line="360" w:lineRule="auto"/>
        <w:ind w:left="560" w:firstLine="560"/>
      </w:pPr>
      <w:hyperlink w:anchor="_Toc9810" w:history="1">
        <w:r>
          <w:rPr>
            <w:rFonts w:ascii="仿宋_GB2312" w:hAnsi="仿宋_GB2312" w:cs="仿宋_GB2312" w:hint="eastAsia"/>
            <w:szCs w:val="32"/>
          </w:rPr>
          <w:t>（三）绩效评价工作过程</w:t>
        </w:r>
        <w:r>
          <w:tab/>
        </w:r>
        <w:r>
          <w:fldChar w:fldCharType="begin"/>
        </w:r>
        <w:r>
          <w:instrText xml:space="preserve"> PAGEREF</w:instrText>
        </w:r>
        <w:r>
          <w:instrText xml:space="preserve"> _Toc9810 \h </w:instrText>
        </w:r>
        <w:r>
          <w:fldChar w:fldCharType="separate"/>
        </w:r>
        <w:r>
          <w:t>10</w:t>
        </w:r>
        <w:r>
          <w:fldChar w:fldCharType="end"/>
        </w:r>
      </w:hyperlink>
    </w:p>
    <w:p w:rsidR="00477804" w:rsidRDefault="001E2B88">
      <w:pPr>
        <w:pStyle w:val="1"/>
        <w:tabs>
          <w:tab w:val="clear" w:pos="8302"/>
          <w:tab w:val="right" w:leader="dot" w:pos="8306"/>
        </w:tabs>
        <w:spacing w:line="360" w:lineRule="auto"/>
      </w:pPr>
      <w:hyperlink w:anchor="_Toc14778" w:history="1">
        <w:r>
          <w:rPr>
            <w:rFonts w:hAnsi="黑体" w:cs="黑体" w:hint="eastAsia"/>
            <w:szCs w:val="32"/>
          </w:rPr>
          <w:t>三、综合评价情况及评价结论（附相关评分表）</w:t>
        </w:r>
        <w:r>
          <w:tab/>
        </w:r>
        <w:r>
          <w:fldChar w:fldCharType="begin"/>
        </w:r>
        <w:r>
          <w:instrText xml:space="preserve"> PAGEREF _Toc14778 \h </w:instrText>
        </w:r>
        <w:r>
          <w:fldChar w:fldCharType="separate"/>
        </w:r>
        <w:r>
          <w:t>11</w:t>
        </w:r>
        <w:r>
          <w:fldChar w:fldCharType="end"/>
        </w:r>
      </w:hyperlink>
    </w:p>
    <w:p w:rsidR="00477804" w:rsidRDefault="001E2B88">
      <w:pPr>
        <w:pStyle w:val="1"/>
        <w:tabs>
          <w:tab w:val="clear" w:pos="8302"/>
          <w:tab w:val="right" w:leader="dot" w:pos="8306"/>
        </w:tabs>
        <w:spacing w:line="360" w:lineRule="auto"/>
      </w:pPr>
      <w:hyperlink w:anchor="_Toc17143" w:history="1">
        <w:r>
          <w:rPr>
            <w:rFonts w:hAnsi="黑体" w:cs="黑体" w:hint="eastAsia"/>
            <w:szCs w:val="32"/>
          </w:rPr>
          <w:t>四、绩效评价指标分析</w:t>
        </w:r>
        <w:r>
          <w:tab/>
        </w:r>
        <w:r>
          <w:fldChar w:fldCharType="begin"/>
        </w:r>
        <w:r>
          <w:instrText xml:space="preserve"> PAGEREF _Toc1714</w:instrText>
        </w:r>
        <w:r>
          <w:instrText xml:space="preserve">3 \h </w:instrText>
        </w:r>
        <w:r>
          <w:fldChar w:fldCharType="separate"/>
        </w:r>
        <w:r>
          <w:t>12</w:t>
        </w:r>
        <w:r>
          <w:fldChar w:fldCharType="end"/>
        </w:r>
      </w:hyperlink>
    </w:p>
    <w:p w:rsidR="00477804" w:rsidRDefault="001E2B88">
      <w:pPr>
        <w:pStyle w:val="2"/>
        <w:tabs>
          <w:tab w:val="right" w:leader="dot" w:pos="8306"/>
        </w:tabs>
        <w:spacing w:line="360" w:lineRule="auto"/>
        <w:ind w:left="560" w:firstLine="560"/>
      </w:pPr>
      <w:hyperlink w:anchor="_Toc10833" w:history="1">
        <w:r>
          <w:rPr>
            <w:rFonts w:ascii="仿宋_GB2312" w:hAnsi="仿宋_GB2312" w:cs="仿宋_GB2312" w:hint="eastAsia"/>
            <w:szCs w:val="32"/>
          </w:rPr>
          <w:t>（一）项目决策情况</w:t>
        </w:r>
        <w:r>
          <w:tab/>
        </w:r>
        <w:r>
          <w:fldChar w:fldCharType="begin"/>
        </w:r>
        <w:r>
          <w:instrText xml:space="preserve"> PAGEREF _Toc10833 \h </w:instrText>
        </w:r>
        <w:r>
          <w:fldChar w:fldCharType="separate"/>
        </w:r>
        <w:r>
          <w:t>12</w:t>
        </w:r>
        <w:r>
          <w:fldChar w:fldCharType="end"/>
        </w:r>
      </w:hyperlink>
    </w:p>
    <w:p w:rsidR="00477804" w:rsidRDefault="001E2B88">
      <w:pPr>
        <w:pStyle w:val="2"/>
        <w:tabs>
          <w:tab w:val="right" w:leader="dot" w:pos="8306"/>
        </w:tabs>
        <w:spacing w:line="360" w:lineRule="auto"/>
        <w:ind w:left="560" w:firstLine="560"/>
      </w:pPr>
      <w:hyperlink w:anchor="_Toc17085" w:history="1">
        <w:r>
          <w:rPr>
            <w:rFonts w:ascii="仿宋_GB2312" w:hAnsi="仿宋_GB2312" w:cs="仿宋_GB2312" w:hint="eastAsia"/>
            <w:kern w:val="0"/>
            <w:szCs w:val="32"/>
          </w:rPr>
          <w:t>（二）项目过程情况</w:t>
        </w:r>
        <w:r>
          <w:tab/>
        </w:r>
        <w:r>
          <w:fldChar w:fldCharType="begin"/>
        </w:r>
        <w:r>
          <w:instrText xml:space="preserve"> PAGEREF _Toc17085</w:instrText>
        </w:r>
        <w:r>
          <w:instrText xml:space="preserve"> \h </w:instrText>
        </w:r>
        <w:r>
          <w:fldChar w:fldCharType="separate"/>
        </w:r>
        <w:r>
          <w:t>14</w:t>
        </w:r>
        <w:r>
          <w:fldChar w:fldCharType="end"/>
        </w:r>
      </w:hyperlink>
    </w:p>
    <w:p w:rsidR="00477804" w:rsidRDefault="001E2B88">
      <w:pPr>
        <w:pStyle w:val="2"/>
        <w:tabs>
          <w:tab w:val="right" w:leader="dot" w:pos="8306"/>
        </w:tabs>
        <w:spacing w:line="360" w:lineRule="auto"/>
        <w:ind w:left="560" w:firstLine="560"/>
      </w:pPr>
      <w:hyperlink w:anchor="_Toc18174" w:history="1">
        <w:r>
          <w:rPr>
            <w:rFonts w:ascii="仿宋_GB2312" w:hAnsi="仿宋_GB2312" w:cs="仿宋_GB2312" w:hint="eastAsia"/>
            <w:szCs w:val="32"/>
          </w:rPr>
          <w:t>（三）项目产出情况</w:t>
        </w:r>
        <w:r>
          <w:tab/>
        </w:r>
        <w:r>
          <w:fldChar w:fldCharType="begin"/>
        </w:r>
        <w:r>
          <w:instrText xml:space="preserve"> PAGEREF _Toc18174 \h </w:instrText>
        </w:r>
        <w:r>
          <w:fldChar w:fldCharType="separate"/>
        </w:r>
        <w:r>
          <w:t>16</w:t>
        </w:r>
        <w:r>
          <w:fldChar w:fldCharType="end"/>
        </w:r>
      </w:hyperlink>
    </w:p>
    <w:p w:rsidR="00477804" w:rsidRDefault="001E2B88">
      <w:pPr>
        <w:pStyle w:val="1"/>
        <w:tabs>
          <w:tab w:val="clear" w:pos="8302"/>
          <w:tab w:val="right" w:leader="dot" w:pos="8306"/>
        </w:tabs>
        <w:spacing w:line="360" w:lineRule="auto"/>
      </w:pPr>
      <w:hyperlink w:anchor="_Toc26337" w:history="1">
        <w:r>
          <w:rPr>
            <w:rFonts w:hAnsi="黑体" w:cs="黑体" w:hint="eastAsia"/>
            <w:szCs w:val="32"/>
          </w:rPr>
          <w:t>五、主要经验及做法、存在的问题及原因分析</w:t>
        </w:r>
        <w:r>
          <w:tab/>
        </w:r>
        <w:r>
          <w:fldChar w:fldCharType="begin"/>
        </w:r>
        <w:r>
          <w:instrText xml:space="preserve"> PAGEREF _Toc26337 \h </w:instrText>
        </w:r>
        <w:r>
          <w:fldChar w:fldCharType="separate"/>
        </w:r>
        <w:r>
          <w:t>22</w:t>
        </w:r>
        <w:r>
          <w:fldChar w:fldCharType="end"/>
        </w:r>
      </w:hyperlink>
    </w:p>
    <w:p w:rsidR="00477804" w:rsidRDefault="001E2B88">
      <w:pPr>
        <w:pStyle w:val="1"/>
        <w:tabs>
          <w:tab w:val="clear" w:pos="8302"/>
          <w:tab w:val="right" w:leader="dot" w:pos="8306"/>
        </w:tabs>
        <w:spacing w:line="360" w:lineRule="auto"/>
      </w:pPr>
      <w:hyperlink w:anchor="_Toc440" w:history="1">
        <w:r>
          <w:rPr>
            <w:rFonts w:hAnsi="黑体" w:cs="黑体" w:hint="eastAsia"/>
            <w:szCs w:val="32"/>
          </w:rPr>
          <w:t>六、有关建议</w:t>
        </w:r>
        <w:r>
          <w:tab/>
        </w:r>
        <w:r>
          <w:fldChar w:fldCharType="begin"/>
        </w:r>
        <w:r>
          <w:instrText xml:space="preserve"> PAGEREF _Toc440 \h </w:instrText>
        </w:r>
        <w:r>
          <w:fldChar w:fldCharType="separate"/>
        </w:r>
        <w:r>
          <w:t>25</w:t>
        </w:r>
        <w:r>
          <w:fldChar w:fldCharType="end"/>
        </w:r>
      </w:hyperlink>
    </w:p>
    <w:p w:rsidR="00477804" w:rsidRDefault="001E2B88">
      <w:pPr>
        <w:pStyle w:val="1"/>
        <w:tabs>
          <w:tab w:val="clear" w:pos="8302"/>
          <w:tab w:val="right" w:leader="dot" w:pos="8306"/>
        </w:tabs>
        <w:spacing w:line="360" w:lineRule="auto"/>
      </w:pPr>
      <w:hyperlink w:anchor="_Toc98" w:history="1">
        <w:r>
          <w:rPr>
            <w:rFonts w:hAnsi="黑体" w:cs="黑体" w:hint="eastAsia"/>
            <w:szCs w:val="32"/>
          </w:rPr>
          <w:t>七、其他需要说明的问题</w:t>
        </w:r>
        <w:r>
          <w:tab/>
        </w:r>
        <w:r>
          <w:fldChar w:fldCharType="begin"/>
        </w:r>
        <w:r>
          <w:instrText xml:space="preserve"> PAGEREF _T</w:instrText>
        </w:r>
        <w:r>
          <w:instrText xml:space="preserve">oc98 \h </w:instrText>
        </w:r>
        <w:r>
          <w:fldChar w:fldCharType="separate"/>
        </w:r>
        <w:r>
          <w:t>26</w:t>
        </w:r>
        <w:r>
          <w:fldChar w:fldCharType="end"/>
        </w:r>
      </w:hyperlink>
    </w:p>
    <w:p w:rsidR="00477804" w:rsidRDefault="001E2B88">
      <w:pPr>
        <w:spacing w:afterLines="100" w:after="312" w:line="360" w:lineRule="auto"/>
        <w:ind w:firstLineChars="0" w:firstLine="0"/>
        <w:jc w:val="center"/>
        <w:rPr>
          <w:rFonts w:ascii="仿宋" w:eastAsia="仿宋" w:hAnsi="仿宋"/>
          <w:szCs w:val="28"/>
        </w:rPr>
      </w:pPr>
      <w:r>
        <w:rPr>
          <w:rFonts w:ascii="仿宋" w:eastAsia="仿宋" w:hAnsi="仿宋"/>
          <w:szCs w:val="28"/>
        </w:rPr>
        <w:fldChar w:fldCharType="end"/>
      </w:r>
    </w:p>
    <w:p w:rsidR="00477804" w:rsidRDefault="00477804">
      <w:pPr>
        <w:ind w:firstLineChars="0" w:firstLine="0"/>
        <w:sectPr w:rsidR="00477804">
          <w:headerReference w:type="even" r:id="rId14"/>
          <w:headerReference w:type="default" r:id="rId15"/>
          <w:footerReference w:type="even" r:id="rId16"/>
          <w:footerReference w:type="default" r:id="rId17"/>
          <w:headerReference w:type="first" r:id="rId18"/>
          <w:footerReference w:type="first" r:id="rId19"/>
          <w:pgSz w:w="11906" w:h="16838"/>
          <w:pgMar w:top="1440" w:right="1800" w:bottom="1440" w:left="1800" w:header="851" w:footer="992" w:gutter="0"/>
          <w:cols w:space="425"/>
          <w:docGrid w:type="lines" w:linePitch="312"/>
        </w:sectPr>
      </w:pPr>
    </w:p>
    <w:p w:rsidR="00477804" w:rsidRDefault="001E2B88">
      <w:pPr>
        <w:spacing w:line="580" w:lineRule="exact"/>
        <w:ind w:firstLineChars="0" w:firstLine="0"/>
        <w:jc w:val="center"/>
        <w:rPr>
          <w:rFonts w:ascii="方正小标宋简体" w:eastAsia="方正小标宋简体" w:hAnsi="方正小标宋简体" w:cs="方正小标宋简体"/>
          <w:b/>
          <w:sz w:val="44"/>
          <w:szCs w:val="44"/>
        </w:rPr>
      </w:pPr>
      <w:r>
        <w:rPr>
          <w:rFonts w:ascii="方正小标宋简体" w:eastAsia="方正小标宋简体" w:hAnsi="方正小标宋简体" w:cs="方正小标宋简体" w:hint="eastAsia"/>
          <w:b/>
          <w:sz w:val="44"/>
          <w:szCs w:val="44"/>
        </w:rPr>
        <w:lastRenderedPageBreak/>
        <w:t>“政府供养保障对象生活费”项目支出</w:t>
      </w:r>
    </w:p>
    <w:p w:rsidR="00477804" w:rsidRDefault="001E2B88">
      <w:pPr>
        <w:spacing w:line="580" w:lineRule="exact"/>
        <w:ind w:firstLineChars="0" w:firstLine="0"/>
        <w:jc w:val="center"/>
        <w:rPr>
          <w:rFonts w:ascii="方正小标宋简体" w:eastAsia="方正小标宋简体" w:hAnsi="方正小标宋简体" w:cs="方正小标宋简体"/>
          <w:b/>
          <w:sz w:val="44"/>
          <w:szCs w:val="44"/>
        </w:rPr>
      </w:pPr>
      <w:r>
        <w:rPr>
          <w:rFonts w:ascii="方正小标宋简体" w:eastAsia="方正小标宋简体" w:hAnsi="方正小标宋简体" w:cs="方正小标宋简体" w:hint="eastAsia"/>
          <w:b/>
          <w:sz w:val="44"/>
          <w:szCs w:val="44"/>
        </w:rPr>
        <w:t>绩效评价报告</w:t>
      </w:r>
    </w:p>
    <w:p w:rsidR="00477804" w:rsidRDefault="00477804">
      <w:pPr>
        <w:spacing w:line="540" w:lineRule="exact"/>
        <w:ind w:firstLine="640"/>
        <w:rPr>
          <w:rFonts w:ascii="仿宋" w:eastAsia="仿宋" w:hAnsi="仿宋"/>
          <w:sz w:val="32"/>
          <w:szCs w:val="32"/>
        </w:rPr>
      </w:pP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依据《北京市财政局关于</w:t>
      </w:r>
      <w:r>
        <w:rPr>
          <w:rFonts w:ascii="仿宋_GB2312" w:hAnsi="仿宋_GB2312" w:cs="仿宋_GB2312" w:hint="eastAsia"/>
          <w:kern w:val="0"/>
          <w:sz w:val="32"/>
          <w:szCs w:val="32"/>
        </w:rPr>
        <w:t>2025</w:t>
      </w:r>
      <w:r>
        <w:rPr>
          <w:rFonts w:ascii="仿宋_GB2312" w:hAnsi="仿宋_GB2312" w:cs="仿宋_GB2312" w:hint="eastAsia"/>
          <w:kern w:val="0"/>
          <w:sz w:val="32"/>
          <w:szCs w:val="32"/>
        </w:rPr>
        <w:t>年预算绩效管理工作的通知》（京财绩效〔</w:t>
      </w:r>
      <w:r>
        <w:rPr>
          <w:rFonts w:ascii="仿宋_GB2312" w:hAnsi="仿宋_GB2312" w:cs="仿宋_GB2312" w:hint="eastAsia"/>
          <w:kern w:val="0"/>
          <w:sz w:val="32"/>
          <w:szCs w:val="32"/>
        </w:rPr>
        <w:t>2025</w:t>
      </w:r>
      <w:r>
        <w:rPr>
          <w:rFonts w:ascii="仿宋_GB2312" w:hAnsi="仿宋_GB2312" w:cs="仿宋_GB2312" w:hint="eastAsia"/>
          <w:kern w:val="0"/>
          <w:sz w:val="32"/>
          <w:szCs w:val="32"/>
        </w:rPr>
        <w:t>〕</w:t>
      </w:r>
      <w:r>
        <w:rPr>
          <w:rFonts w:ascii="仿宋_GB2312" w:hAnsi="仿宋_GB2312" w:cs="仿宋_GB2312" w:hint="eastAsia"/>
          <w:kern w:val="0"/>
          <w:sz w:val="32"/>
          <w:szCs w:val="32"/>
        </w:rPr>
        <w:t>245</w:t>
      </w:r>
      <w:r>
        <w:rPr>
          <w:rFonts w:ascii="仿宋_GB2312" w:hAnsi="仿宋_GB2312" w:cs="仿宋_GB2312" w:hint="eastAsia"/>
          <w:kern w:val="0"/>
          <w:sz w:val="32"/>
          <w:szCs w:val="32"/>
        </w:rPr>
        <w:t>号）中工作要求及《北京市项目支出绩效评价管理办法》（京财绩效〔</w:t>
      </w:r>
      <w:r>
        <w:rPr>
          <w:rFonts w:ascii="仿宋_GB2312" w:hAnsi="仿宋_GB2312" w:cs="仿宋_GB2312" w:hint="eastAsia"/>
          <w:kern w:val="0"/>
          <w:sz w:val="32"/>
          <w:szCs w:val="32"/>
        </w:rPr>
        <w:t>2020</w:t>
      </w:r>
      <w:r>
        <w:rPr>
          <w:rFonts w:ascii="仿宋_GB2312" w:hAnsi="仿宋_GB2312" w:cs="仿宋_GB2312" w:hint="eastAsia"/>
          <w:kern w:val="0"/>
          <w:sz w:val="32"/>
          <w:szCs w:val="32"/>
        </w:rPr>
        <w:t>〕</w:t>
      </w:r>
      <w:r>
        <w:rPr>
          <w:rFonts w:ascii="仿宋_GB2312" w:hAnsi="仿宋_GB2312" w:cs="仿宋_GB2312" w:hint="eastAsia"/>
          <w:kern w:val="0"/>
          <w:sz w:val="32"/>
          <w:szCs w:val="32"/>
        </w:rPr>
        <w:t>2146</w:t>
      </w:r>
      <w:r>
        <w:rPr>
          <w:rFonts w:ascii="仿宋_GB2312" w:hAnsi="仿宋_GB2312" w:cs="仿宋_GB2312" w:hint="eastAsia"/>
          <w:kern w:val="0"/>
          <w:sz w:val="32"/>
          <w:szCs w:val="32"/>
        </w:rPr>
        <w:t>号）等文件规定，北京中润达会计师事务所有限公司接受北京市社会福利事务管理中心的委托（以下简称：“市福利中心”），对北京市儿童福利院（以下简称：“市儿福”）</w:t>
      </w:r>
      <w:r>
        <w:rPr>
          <w:rFonts w:ascii="仿宋_GB2312" w:hAnsi="仿宋_GB2312" w:cs="仿宋_GB2312" w:hint="eastAsia"/>
          <w:kern w:val="0"/>
          <w:sz w:val="32"/>
          <w:szCs w:val="32"/>
        </w:rPr>
        <w:t>2024</w:t>
      </w:r>
      <w:r>
        <w:rPr>
          <w:rFonts w:ascii="仿宋_GB2312" w:hAnsi="仿宋_GB2312" w:cs="仿宋_GB2312" w:hint="eastAsia"/>
          <w:kern w:val="0"/>
          <w:sz w:val="32"/>
          <w:szCs w:val="32"/>
        </w:rPr>
        <w:t>年“政府供养保障对象生活费”项目进行绩效评价，形成本绩效评价报告。</w:t>
      </w:r>
    </w:p>
    <w:p w:rsidR="00477804" w:rsidRDefault="001E2B88">
      <w:pPr>
        <w:adjustRightInd w:val="0"/>
        <w:snapToGrid w:val="0"/>
        <w:spacing w:beforeLines="50" w:before="156" w:afterLines="50" w:after="156" w:line="540" w:lineRule="exact"/>
        <w:ind w:firstLine="640"/>
        <w:outlineLvl w:val="0"/>
        <w:rPr>
          <w:rFonts w:ascii="黑体" w:eastAsia="黑体" w:hAnsi="黑体" w:cs="黑体"/>
          <w:sz w:val="32"/>
          <w:szCs w:val="32"/>
        </w:rPr>
      </w:pPr>
      <w:bookmarkStart w:id="1" w:name="_Toc482788955"/>
      <w:bookmarkStart w:id="2" w:name="_Toc27824"/>
      <w:r>
        <w:rPr>
          <w:rFonts w:ascii="黑体" w:eastAsia="黑体" w:hAnsi="黑体" w:cs="黑体" w:hint="eastAsia"/>
          <w:sz w:val="32"/>
          <w:szCs w:val="32"/>
        </w:rPr>
        <w:t>一、基本情况</w:t>
      </w:r>
      <w:bookmarkEnd w:id="1"/>
      <w:bookmarkEnd w:id="2"/>
    </w:p>
    <w:p w:rsidR="00477804" w:rsidRDefault="001E2B88">
      <w:pPr>
        <w:adjustRightInd w:val="0"/>
        <w:snapToGrid w:val="0"/>
        <w:spacing w:line="540" w:lineRule="exact"/>
        <w:ind w:firstLine="640"/>
        <w:outlineLvl w:val="1"/>
        <w:rPr>
          <w:rFonts w:ascii="仿宋_GB2312" w:hAnsi="仿宋_GB2312" w:cs="仿宋_GB2312"/>
          <w:sz w:val="32"/>
          <w:szCs w:val="32"/>
        </w:rPr>
      </w:pPr>
      <w:bookmarkStart w:id="3" w:name="_Toc482788956"/>
      <w:bookmarkStart w:id="4" w:name="_Toc24526"/>
      <w:r>
        <w:rPr>
          <w:rFonts w:ascii="仿宋_GB2312" w:hAnsi="仿宋_GB2312" w:cs="仿宋_GB2312" w:hint="eastAsia"/>
          <w:sz w:val="32"/>
          <w:szCs w:val="32"/>
        </w:rPr>
        <w:t>（一）项目概况</w:t>
      </w:r>
      <w:bookmarkEnd w:id="3"/>
      <w:bookmarkEnd w:id="4"/>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w:t>
      </w:r>
      <w:r>
        <w:rPr>
          <w:rFonts w:ascii="仿宋_GB2312" w:hAnsi="仿宋_GB2312" w:cs="仿宋_GB2312" w:hint="eastAsia"/>
          <w:kern w:val="0"/>
          <w:sz w:val="32"/>
          <w:szCs w:val="32"/>
        </w:rPr>
        <w:t>、项目实施背景及主要内容</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市儿福是北京市民政局所属的全额拨款公益一类事业单位，主要收养</w:t>
      </w:r>
      <w:r>
        <w:rPr>
          <w:rFonts w:ascii="仿宋_GB2312" w:hAnsi="仿宋_GB2312" w:cs="仿宋_GB2312" w:hint="eastAsia"/>
          <w:sz w:val="32"/>
          <w:szCs w:val="32"/>
        </w:rPr>
        <w:t>机场分局、天安门分局、西站分局、开发区分局、清河分局等专业分局和市公安局公交总队接警处置、送医救治的弃婴。目前，院内儿童均属于无法查明父母或者其他监护人的被遗弃儿童，且残疾率达到</w:t>
      </w:r>
      <w:r>
        <w:rPr>
          <w:rFonts w:ascii="仿宋_GB2312" w:hAnsi="仿宋_GB2312" w:cs="仿宋_GB2312" w:hint="eastAsia"/>
          <w:sz w:val="32"/>
          <w:szCs w:val="32"/>
        </w:rPr>
        <w:t>99%</w:t>
      </w:r>
      <w:r>
        <w:rPr>
          <w:rFonts w:ascii="仿宋_GB2312" w:hAnsi="仿宋_GB2312" w:cs="仿宋_GB2312" w:hint="eastAsia"/>
          <w:sz w:val="32"/>
          <w:szCs w:val="32"/>
        </w:rPr>
        <w:t>。（以下简称“困境儿童”）。</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随着我国经济社会的迅猛发展，社会保障体系日益完善，困境儿童的各项权益也得到了相应的保障。市财政专门拨付资金，用于困境儿童的养育、教育、康复及治疗等方面，确保生活在福利系统中的困境儿童的基本生活需求</w:t>
      </w:r>
      <w:r>
        <w:rPr>
          <w:rFonts w:ascii="仿宋_GB2312" w:hAnsi="仿宋_GB2312" w:cs="仿宋_GB2312" w:hint="eastAsia"/>
          <w:sz w:val="32"/>
          <w:szCs w:val="32"/>
        </w:rPr>
        <w:lastRenderedPageBreak/>
        <w:t>得到满足，并不断提升其生活、医疗、康复和教育的水平，切实维护儿童的合法权益。</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近年来，困境儿童基本生活</w:t>
      </w:r>
      <w:r>
        <w:rPr>
          <w:rFonts w:ascii="仿宋_GB2312" w:hAnsi="仿宋_GB2312" w:cs="仿宋_GB2312" w:hint="eastAsia"/>
          <w:sz w:val="32"/>
          <w:szCs w:val="32"/>
        </w:rPr>
        <w:t>费趋于逐年提高的状态，根据《北京市民政局北京市财政局关于进一步加强困境儿童生活费保障和管理工作的通知》（京民儿福发〔</w:t>
      </w:r>
      <w:r>
        <w:rPr>
          <w:rFonts w:ascii="仿宋_GB2312" w:hAnsi="仿宋_GB2312" w:cs="仿宋_GB2312" w:hint="eastAsia"/>
          <w:sz w:val="32"/>
          <w:szCs w:val="32"/>
        </w:rPr>
        <w:t>2024</w:t>
      </w:r>
      <w:r>
        <w:rPr>
          <w:rFonts w:ascii="仿宋_GB2312" w:hAnsi="仿宋_GB2312" w:cs="仿宋_GB2312" w:hint="eastAsia"/>
          <w:sz w:val="32"/>
          <w:szCs w:val="32"/>
        </w:rPr>
        <w:t>〕</w:t>
      </w:r>
      <w:r>
        <w:rPr>
          <w:rFonts w:ascii="仿宋_GB2312" w:hAnsi="仿宋_GB2312" w:cs="仿宋_GB2312" w:hint="eastAsia"/>
          <w:sz w:val="32"/>
          <w:szCs w:val="32"/>
        </w:rPr>
        <w:t>245</w:t>
      </w:r>
      <w:r>
        <w:rPr>
          <w:rFonts w:ascii="仿宋_GB2312" w:hAnsi="仿宋_GB2312" w:cs="仿宋_GB2312" w:hint="eastAsia"/>
          <w:sz w:val="32"/>
          <w:szCs w:val="32"/>
        </w:rPr>
        <w:t>号）、《北京市民政局、北京市财政局关于调整困境儿童生活费标准的通知》（京民儿福发〔</w:t>
      </w:r>
      <w:r>
        <w:rPr>
          <w:rFonts w:ascii="仿宋_GB2312" w:hAnsi="仿宋_GB2312" w:cs="仿宋_GB2312" w:hint="eastAsia"/>
          <w:sz w:val="32"/>
          <w:szCs w:val="32"/>
        </w:rPr>
        <w:t>2023</w:t>
      </w:r>
      <w:r>
        <w:rPr>
          <w:rFonts w:ascii="仿宋_GB2312" w:hAnsi="仿宋_GB2312" w:cs="仿宋_GB2312" w:hint="eastAsia"/>
          <w:sz w:val="32"/>
          <w:szCs w:val="32"/>
        </w:rPr>
        <w:t>〕</w:t>
      </w:r>
      <w:r>
        <w:rPr>
          <w:rFonts w:ascii="仿宋_GB2312" w:hAnsi="仿宋_GB2312" w:cs="仿宋_GB2312" w:hint="eastAsia"/>
          <w:sz w:val="32"/>
          <w:szCs w:val="32"/>
        </w:rPr>
        <w:t>246</w:t>
      </w:r>
      <w:r>
        <w:rPr>
          <w:rFonts w:ascii="仿宋_GB2312" w:hAnsi="仿宋_GB2312" w:cs="仿宋_GB2312" w:hint="eastAsia"/>
          <w:sz w:val="32"/>
          <w:szCs w:val="32"/>
        </w:rPr>
        <w:t>号）等文件，对困境儿童的基本生活费标准按照同期城市低保标准增长比例进行了调整。</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该项目主要内容为：依法保障儿童的生存权、发展权、受保护权、参与权等权利，为院内集中养育的困境儿童提供基本膳食和服装被褥日用品等基本生活需求、给予生活照护、医护保健，开展康复教育等，不断提高儿童生活、医疗</w:t>
      </w:r>
      <w:r>
        <w:rPr>
          <w:rFonts w:ascii="仿宋_GB2312" w:hAnsi="仿宋_GB2312" w:cs="仿宋_GB2312" w:hint="eastAsia"/>
          <w:sz w:val="32"/>
          <w:szCs w:val="32"/>
        </w:rPr>
        <w:t>、康复和教育水平。</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w:t>
      </w:r>
      <w:r>
        <w:rPr>
          <w:rFonts w:ascii="仿宋_GB2312" w:hAnsi="仿宋_GB2312" w:cs="仿宋_GB2312" w:hint="eastAsia"/>
          <w:kern w:val="0"/>
          <w:sz w:val="32"/>
          <w:szCs w:val="32"/>
        </w:rPr>
        <w:t>、项目实施情况</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为保障项目顺利实施，市儿福成立了项目领导小组，由院长担任组长，业务副院长、行政副院长、财务副院长为副组长；具体工作由财务科、医务科、康教科、养育一科、养育二科、膳食科、行政科、社工科各司其职，相互配合，共同实施。</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市儿福院内各科室职责分工明确，年初院内统一制定了项目总体实施方案，各科室分别按照各自的分工编写了本科室的年度工作计划或实施方案，年末对照相应工作梳理了年度工作小结。</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lastRenderedPageBreak/>
        <w:t>3</w:t>
      </w:r>
      <w:r>
        <w:rPr>
          <w:rFonts w:ascii="仿宋_GB2312" w:hAnsi="仿宋_GB2312" w:cs="仿宋_GB2312" w:hint="eastAsia"/>
          <w:kern w:val="0"/>
          <w:sz w:val="32"/>
          <w:szCs w:val="32"/>
        </w:rPr>
        <w:t>、项目资金投入和使用情况</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1</w:t>
      </w:r>
      <w:r>
        <w:rPr>
          <w:rFonts w:ascii="仿宋_GB2312" w:hAnsi="仿宋_GB2312" w:cs="仿宋_GB2312" w:hint="eastAsia"/>
          <w:sz w:val="32"/>
          <w:szCs w:val="32"/>
        </w:rPr>
        <w:t>）经费预算、批复情况</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项目申请预算资金</w:t>
      </w:r>
      <w:r>
        <w:rPr>
          <w:rFonts w:ascii="仿宋_GB2312" w:hAnsi="仿宋_GB2312" w:cs="仿宋_GB2312" w:hint="eastAsia"/>
          <w:sz w:val="32"/>
          <w:szCs w:val="32"/>
        </w:rPr>
        <w:t>1001.70</w:t>
      </w:r>
      <w:r>
        <w:rPr>
          <w:rFonts w:ascii="仿宋_GB2312" w:hAnsi="仿宋_GB2312" w:cs="仿宋_GB2312" w:hint="eastAsia"/>
          <w:sz w:val="32"/>
          <w:szCs w:val="32"/>
        </w:rPr>
        <w:t>万元，其中包含政府供养保障对象生活费（市级财政资金）</w:t>
      </w:r>
      <w:r>
        <w:rPr>
          <w:rFonts w:ascii="仿宋_GB2312" w:hAnsi="仿宋_GB2312" w:cs="仿宋_GB2312" w:hint="eastAsia"/>
          <w:sz w:val="32"/>
          <w:szCs w:val="32"/>
        </w:rPr>
        <w:t>888.30</w:t>
      </w:r>
      <w:r>
        <w:rPr>
          <w:rFonts w:ascii="仿宋_GB2312" w:hAnsi="仿宋_GB2312" w:cs="仿宋_GB2312" w:hint="eastAsia"/>
          <w:sz w:val="32"/>
          <w:szCs w:val="32"/>
        </w:rPr>
        <w:t>万元，政府供养保障对象生活费（中央资金）</w:t>
      </w:r>
      <w:r>
        <w:rPr>
          <w:rFonts w:ascii="仿宋_GB2312" w:hAnsi="仿宋_GB2312" w:cs="仿宋_GB2312" w:hint="eastAsia"/>
          <w:sz w:val="32"/>
          <w:szCs w:val="32"/>
        </w:rPr>
        <w:t>113.40</w:t>
      </w:r>
      <w:r>
        <w:rPr>
          <w:rFonts w:ascii="仿宋_GB2312" w:hAnsi="仿宋_GB2312" w:cs="仿宋_GB2312" w:hint="eastAsia"/>
          <w:sz w:val="32"/>
          <w:szCs w:val="32"/>
        </w:rPr>
        <w:t>万元。</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2024</w:t>
      </w:r>
      <w:r>
        <w:rPr>
          <w:rFonts w:ascii="仿宋_GB2312" w:hAnsi="仿宋_GB2312" w:cs="仿宋_GB2312" w:hint="eastAsia"/>
          <w:sz w:val="32"/>
          <w:szCs w:val="32"/>
        </w:rPr>
        <w:t>年</w:t>
      </w:r>
      <w:r>
        <w:rPr>
          <w:rFonts w:ascii="仿宋_GB2312" w:hAnsi="仿宋_GB2312" w:cs="仿宋_GB2312" w:hint="eastAsia"/>
          <w:sz w:val="32"/>
          <w:szCs w:val="32"/>
        </w:rPr>
        <w:t>10</w:t>
      </w:r>
      <w:r>
        <w:rPr>
          <w:rFonts w:ascii="仿宋_GB2312" w:hAnsi="仿宋_GB2312" w:cs="仿宋_GB2312" w:hint="eastAsia"/>
          <w:sz w:val="32"/>
          <w:szCs w:val="32"/>
        </w:rPr>
        <w:t>月，市儿福结合院内儿童实际人数情况申请了核减市级财政资金</w:t>
      </w:r>
      <w:r>
        <w:rPr>
          <w:rFonts w:ascii="仿宋_GB2312" w:hAnsi="仿宋_GB2312" w:cs="仿宋_GB2312" w:hint="eastAsia"/>
          <w:sz w:val="32"/>
          <w:szCs w:val="32"/>
        </w:rPr>
        <w:t>16.34</w:t>
      </w:r>
      <w:r>
        <w:rPr>
          <w:rFonts w:ascii="仿宋_GB2312" w:hAnsi="仿宋_GB2312" w:cs="仿宋_GB2312" w:hint="eastAsia"/>
          <w:sz w:val="32"/>
          <w:szCs w:val="32"/>
        </w:rPr>
        <w:t>万元，并取得了《北京市财政局关于核减市福利中心</w:t>
      </w:r>
      <w:r>
        <w:rPr>
          <w:rFonts w:ascii="仿宋_GB2312" w:hAnsi="仿宋_GB2312" w:cs="仿宋_GB2312" w:hint="eastAsia"/>
          <w:sz w:val="32"/>
          <w:szCs w:val="32"/>
        </w:rPr>
        <w:t>2024</w:t>
      </w:r>
      <w:r>
        <w:rPr>
          <w:rFonts w:ascii="仿宋_GB2312" w:hAnsi="仿宋_GB2312" w:cs="仿宋_GB2312" w:hint="eastAsia"/>
          <w:sz w:val="32"/>
          <w:szCs w:val="32"/>
        </w:rPr>
        <w:t>年项目资金预算的函》（京财社指〔</w:t>
      </w:r>
      <w:r>
        <w:rPr>
          <w:rFonts w:ascii="仿宋_GB2312" w:hAnsi="仿宋_GB2312" w:cs="仿宋_GB2312" w:hint="eastAsia"/>
          <w:sz w:val="32"/>
          <w:szCs w:val="32"/>
        </w:rPr>
        <w:t>2024</w:t>
      </w:r>
      <w:r>
        <w:rPr>
          <w:rFonts w:ascii="仿宋_GB2312" w:hAnsi="仿宋_GB2312" w:cs="仿宋_GB2312" w:hint="eastAsia"/>
          <w:sz w:val="32"/>
          <w:szCs w:val="32"/>
        </w:rPr>
        <w:t>〕</w:t>
      </w:r>
      <w:r>
        <w:rPr>
          <w:rFonts w:ascii="仿宋_GB2312" w:hAnsi="仿宋_GB2312" w:cs="仿宋_GB2312" w:hint="eastAsia"/>
          <w:sz w:val="32"/>
          <w:szCs w:val="32"/>
        </w:rPr>
        <w:t>1642</w:t>
      </w:r>
      <w:r>
        <w:rPr>
          <w:rFonts w:ascii="仿宋_GB2312" w:hAnsi="仿宋_GB2312" w:cs="仿宋_GB2312" w:hint="eastAsia"/>
          <w:sz w:val="32"/>
          <w:szCs w:val="32"/>
        </w:rPr>
        <w:t>号）的批复</w:t>
      </w:r>
      <w:bookmarkStart w:id="5" w:name="OLE_LINK1"/>
      <w:r>
        <w:rPr>
          <w:rFonts w:ascii="仿宋_GB2312" w:hAnsi="仿宋_GB2312" w:cs="仿宋_GB2312" w:hint="eastAsia"/>
          <w:sz w:val="32"/>
          <w:szCs w:val="32"/>
        </w:rPr>
        <w:t>；综合上述情况</w:t>
      </w:r>
      <w:r>
        <w:rPr>
          <w:rFonts w:ascii="仿宋_GB2312" w:hAnsi="仿宋_GB2312" w:cs="仿宋_GB2312" w:hint="eastAsia"/>
          <w:sz w:val="32"/>
          <w:szCs w:val="32"/>
        </w:rPr>
        <w:t>2024</w:t>
      </w:r>
      <w:r>
        <w:rPr>
          <w:rFonts w:ascii="仿宋_GB2312" w:hAnsi="仿宋_GB2312" w:cs="仿宋_GB2312" w:hint="eastAsia"/>
          <w:sz w:val="32"/>
          <w:szCs w:val="32"/>
        </w:rPr>
        <w:t>年度项目预算资金</w:t>
      </w:r>
      <w:r>
        <w:rPr>
          <w:rFonts w:ascii="仿宋_GB2312" w:hAnsi="仿宋_GB2312" w:cs="仿宋_GB2312" w:hint="eastAsia"/>
          <w:sz w:val="32"/>
          <w:szCs w:val="32"/>
        </w:rPr>
        <w:t>985.36</w:t>
      </w:r>
      <w:r>
        <w:rPr>
          <w:rFonts w:ascii="仿宋_GB2312" w:hAnsi="仿宋_GB2312" w:cs="仿宋_GB2312" w:hint="eastAsia"/>
          <w:sz w:val="32"/>
          <w:szCs w:val="32"/>
        </w:rPr>
        <w:t>万元，其中包含市级资金</w:t>
      </w:r>
      <w:r>
        <w:rPr>
          <w:rFonts w:ascii="仿宋_GB2312" w:hAnsi="仿宋_GB2312" w:cs="仿宋_GB2312" w:hint="eastAsia"/>
          <w:sz w:val="32"/>
          <w:szCs w:val="32"/>
        </w:rPr>
        <w:t>871.96</w:t>
      </w:r>
      <w:r>
        <w:rPr>
          <w:rFonts w:ascii="仿宋_GB2312" w:hAnsi="仿宋_GB2312" w:cs="仿宋_GB2312" w:hint="eastAsia"/>
          <w:sz w:val="32"/>
          <w:szCs w:val="32"/>
        </w:rPr>
        <w:t>万元，中央资金</w:t>
      </w:r>
      <w:r>
        <w:rPr>
          <w:rFonts w:ascii="仿宋_GB2312" w:hAnsi="仿宋_GB2312" w:cs="仿宋_GB2312" w:hint="eastAsia"/>
          <w:sz w:val="32"/>
          <w:szCs w:val="32"/>
        </w:rPr>
        <w:t>113.40</w:t>
      </w:r>
      <w:r>
        <w:rPr>
          <w:rFonts w:ascii="仿宋_GB2312" w:hAnsi="仿宋_GB2312" w:cs="仿宋_GB2312" w:hint="eastAsia"/>
          <w:sz w:val="32"/>
          <w:szCs w:val="32"/>
        </w:rPr>
        <w:t>万元。</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2</w:t>
      </w:r>
      <w:r>
        <w:rPr>
          <w:rFonts w:ascii="仿宋_GB2312" w:hAnsi="仿宋_GB2312" w:cs="仿宋_GB2312" w:hint="eastAsia"/>
          <w:sz w:val="32"/>
          <w:szCs w:val="32"/>
        </w:rPr>
        <w:t>）实际支出情况</w:t>
      </w:r>
    </w:p>
    <w:p w:rsidR="00477804" w:rsidRDefault="001E2B88">
      <w:pPr>
        <w:spacing w:line="540" w:lineRule="exact"/>
        <w:ind w:firstLine="640"/>
      </w:pPr>
      <w:r>
        <w:rPr>
          <w:rFonts w:ascii="仿宋_GB2312" w:hAnsi="仿宋_GB2312" w:cs="仿宋_GB2312" w:hint="eastAsia"/>
          <w:sz w:val="32"/>
          <w:szCs w:val="32"/>
        </w:rPr>
        <w:t>2024</w:t>
      </w:r>
      <w:r>
        <w:rPr>
          <w:rFonts w:ascii="仿宋_GB2312" w:hAnsi="仿宋_GB2312" w:cs="仿宋_GB2312" w:hint="eastAsia"/>
          <w:sz w:val="32"/>
          <w:szCs w:val="32"/>
        </w:rPr>
        <w:t>年度市儿福累计支出</w:t>
      </w:r>
      <w:r>
        <w:rPr>
          <w:rFonts w:ascii="仿宋_GB2312" w:hAnsi="仿宋_GB2312" w:cs="仿宋_GB2312" w:hint="eastAsia"/>
          <w:sz w:val="32"/>
          <w:szCs w:val="32"/>
        </w:rPr>
        <w:t>项目资金</w:t>
      </w:r>
      <w:r>
        <w:rPr>
          <w:rFonts w:ascii="仿宋_GB2312" w:hAnsi="仿宋_GB2312" w:cs="仿宋_GB2312" w:hint="eastAsia"/>
          <w:sz w:val="32"/>
          <w:szCs w:val="32"/>
        </w:rPr>
        <w:t>972.65</w:t>
      </w:r>
      <w:r>
        <w:rPr>
          <w:rFonts w:ascii="仿宋_GB2312" w:hAnsi="仿宋_GB2312" w:cs="仿宋_GB2312" w:hint="eastAsia"/>
          <w:sz w:val="32"/>
          <w:szCs w:val="32"/>
        </w:rPr>
        <w:t>万元，项目预算执行率为</w:t>
      </w:r>
      <w:r>
        <w:rPr>
          <w:rFonts w:ascii="仿宋_GB2312" w:hAnsi="仿宋_GB2312" w:cs="仿宋_GB2312" w:hint="eastAsia"/>
          <w:sz w:val="32"/>
          <w:szCs w:val="32"/>
        </w:rPr>
        <w:t>99.09%</w:t>
      </w:r>
      <w:r>
        <w:rPr>
          <w:rFonts w:ascii="仿宋_GB2312" w:hAnsi="仿宋_GB2312" w:cs="仿宋_GB2312" w:hint="eastAsia"/>
          <w:sz w:val="32"/>
          <w:szCs w:val="32"/>
        </w:rPr>
        <w:t>；其中：政府供养保障对象生活费（市级财政资金）</w:t>
      </w:r>
      <w:r>
        <w:rPr>
          <w:rFonts w:ascii="仿宋_GB2312" w:hAnsi="仿宋_GB2312" w:cs="仿宋_GB2312" w:hint="eastAsia"/>
          <w:sz w:val="32"/>
          <w:szCs w:val="32"/>
        </w:rPr>
        <w:t>859.25</w:t>
      </w:r>
      <w:r>
        <w:rPr>
          <w:rFonts w:ascii="仿宋_GB2312" w:hAnsi="仿宋_GB2312" w:cs="仿宋_GB2312" w:hint="eastAsia"/>
          <w:sz w:val="32"/>
          <w:szCs w:val="32"/>
        </w:rPr>
        <w:t>万元，政府供养保障对象生活费（中央资金）</w:t>
      </w:r>
      <w:r>
        <w:rPr>
          <w:rFonts w:ascii="仿宋_GB2312" w:hAnsi="仿宋_GB2312" w:cs="仿宋_GB2312" w:hint="eastAsia"/>
          <w:sz w:val="32"/>
          <w:szCs w:val="32"/>
        </w:rPr>
        <w:t>113.40</w:t>
      </w:r>
      <w:r>
        <w:rPr>
          <w:rFonts w:ascii="仿宋_GB2312" w:hAnsi="仿宋_GB2312" w:cs="仿宋_GB2312" w:hint="eastAsia"/>
          <w:sz w:val="32"/>
          <w:szCs w:val="32"/>
        </w:rPr>
        <w:t>万元，项目结余资金</w:t>
      </w:r>
      <w:r>
        <w:rPr>
          <w:rFonts w:ascii="仿宋_GB2312" w:hAnsi="仿宋_GB2312" w:cs="仿宋_GB2312" w:hint="eastAsia"/>
          <w:sz w:val="32"/>
          <w:szCs w:val="32"/>
        </w:rPr>
        <w:t>12.71</w:t>
      </w:r>
      <w:r>
        <w:rPr>
          <w:rFonts w:ascii="仿宋_GB2312" w:hAnsi="仿宋_GB2312" w:cs="仿宋_GB2312" w:hint="eastAsia"/>
          <w:sz w:val="32"/>
          <w:szCs w:val="32"/>
        </w:rPr>
        <w:t>万元。</w:t>
      </w:r>
    </w:p>
    <w:p w:rsidR="00477804" w:rsidRDefault="001E2B88">
      <w:pPr>
        <w:pStyle w:val="a3"/>
        <w:spacing w:line="540" w:lineRule="exact"/>
        <w:ind w:firstLine="640"/>
        <w:outlineLvl w:val="1"/>
        <w:rPr>
          <w:rFonts w:ascii="仿宋_GB2312" w:hAnsi="仿宋_GB2312" w:cs="仿宋_GB2312"/>
          <w:sz w:val="32"/>
          <w:szCs w:val="32"/>
        </w:rPr>
      </w:pPr>
      <w:bookmarkStart w:id="6" w:name="_Toc457251626"/>
      <w:bookmarkStart w:id="7" w:name="_Toc23509"/>
      <w:bookmarkStart w:id="8" w:name="_Toc458179064"/>
      <w:bookmarkStart w:id="9" w:name="_Toc482788958"/>
      <w:bookmarkEnd w:id="5"/>
      <w:r>
        <w:rPr>
          <w:rFonts w:ascii="仿宋_GB2312" w:hAnsi="仿宋_GB2312" w:cs="仿宋_GB2312" w:hint="eastAsia"/>
          <w:sz w:val="32"/>
          <w:szCs w:val="32"/>
        </w:rPr>
        <w:t>（二）项目绩效目标</w:t>
      </w:r>
      <w:bookmarkEnd w:id="6"/>
      <w:bookmarkEnd w:id="7"/>
      <w:bookmarkEnd w:id="8"/>
      <w:bookmarkEnd w:id="9"/>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2024</w:t>
      </w:r>
      <w:r>
        <w:rPr>
          <w:rFonts w:ascii="仿宋_GB2312" w:hAnsi="仿宋_GB2312" w:cs="仿宋_GB2312" w:hint="eastAsia"/>
          <w:sz w:val="32"/>
          <w:szCs w:val="32"/>
        </w:rPr>
        <w:t>年度项目的绩效目标为：合理、科学使用困境儿童生活费，保证困境儿童的正常生活、医疗护理、康复教育等需要，确保儿童身心健康成长，提高基本生活自理能力，保障其合法权益，减轻社会负担，为困境儿童自食其力、全面发展，更好、更快地回归家庭、步入社会奠定基础。</w:t>
      </w:r>
    </w:p>
    <w:p w:rsidR="00477804" w:rsidRDefault="001E2B88">
      <w:pPr>
        <w:adjustRightInd w:val="0"/>
        <w:snapToGrid w:val="0"/>
        <w:spacing w:beforeLines="50" w:before="156" w:afterLines="50" w:after="156" w:line="540" w:lineRule="exact"/>
        <w:ind w:firstLine="640"/>
        <w:outlineLvl w:val="0"/>
        <w:rPr>
          <w:rFonts w:ascii="黑体" w:eastAsia="黑体" w:hAnsi="黑体" w:cs="黑体"/>
          <w:sz w:val="32"/>
          <w:szCs w:val="32"/>
        </w:rPr>
      </w:pPr>
      <w:bookmarkStart w:id="10" w:name="_Toc458179068"/>
      <w:bookmarkStart w:id="11" w:name="_Toc457251630"/>
      <w:bookmarkStart w:id="12" w:name="_Toc23183"/>
      <w:bookmarkStart w:id="13" w:name="_Toc482788963"/>
      <w:r>
        <w:rPr>
          <w:rFonts w:ascii="黑体" w:eastAsia="黑体" w:hAnsi="黑体" w:cs="黑体" w:hint="eastAsia"/>
          <w:sz w:val="32"/>
          <w:szCs w:val="32"/>
        </w:rPr>
        <w:t>二、绩效评价工作开展情况</w:t>
      </w:r>
      <w:bookmarkEnd w:id="10"/>
      <w:bookmarkEnd w:id="11"/>
      <w:bookmarkEnd w:id="12"/>
      <w:bookmarkEnd w:id="13"/>
    </w:p>
    <w:p w:rsidR="00477804" w:rsidRDefault="001E2B88">
      <w:pPr>
        <w:adjustRightInd w:val="0"/>
        <w:snapToGrid w:val="0"/>
        <w:spacing w:line="540" w:lineRule="exact"/>
        <w:ind w:firstLine="640"/>
        <w:outlineLvl w:val="1"/>
        <w:rPr>
          <w:rFonts w:ascii="仿宋_GB2312" w:hAnsi="仿宋_GB2312" w:cs="仿宋_GB2312"/>
          <w:sz w:val="32"/>
          <w:szCs w:val="32"/>
        </w:rPr>
      </w:pPr>
      <w:bookmarkStart w:id="14" w:name="_Toc27938"/>
      <w:r>
        <w:rPr>
          <w:rFonts w:ascii="仿宋_GB2312" w:hAnsi="仿宋_GB2312" w:cs="仿宋_GB2312" w:hint="eastAsia"/>
          <w:sz w:val="32"/>
          <w:szCs w:val="32"/>
        </w:rPr>
        <w:lastRenderedPageBreak/>
        <w:t>（一）绩效</w:t>
      </w:r>
      <w:r>
        <w:rPr>
          <w:rFonts w:ascii="仿宋_GB2312" w:hAnsi="仿宋_GB2312" w:cs="仿宋_GB2312" w:hint="eastAsia"/>
          <w:sz w:val="32"/>
          <w:szCs w:val="32"/>
        </w:rPr>
        <w:t>评价目的、对象和范围</w:t>
      </w:r>
      <w:bookmarkEnd w:id="14"/>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w:t>
      </w:r>
      <w:r>
        <w:rPr>
          <w:rFonts w:ascii="仿宋_GB2312" w:hAnsi="仿宋_GB2312" w:cs="仿宋_GB2312" w:hint="eastAsia"/>
          <w:kern w:val="0"/>
          <w:sz w:val="32"/>
          <w:szCs w:val="32"/>
        </w:rPr>
        <w:t>、绩效评价目的</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1</w:t>
      </w:r>
      <w:r>
        <w:rPr>
          <w:rFonts w:ascii="仿宋_GB2312" w:hAnsi="仿宋_GB2312" w:cs="仿宋_GB2312" w:hint="eastAsia"/>
          <w:kern w:val="0"/>
          <w:sz w:val="32"/>
          <w:szCs w:val="32"/>
        </w:rPr>
        <w:t>）提高部门预算绩效管理水平</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通过对前期设立的绩效目标完成情况进行全面评价，总结项目实施经验及项目管理中存在的问题，为预算部门改进绩效管理服务，同时作为财政部门安排下一年度预算资金的参考。</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2</w:t>
      </w:r>
      <w:r>
        <w:rPr>
          <w:rFonts w:ascii="仿宋_GB2312" w:hAnsi="仿宋_GB2312" w:cs="仿宋_GB2312" w:hint="eastAsia"/>
          <w:kern w:val="0"/>
          <w:sz w:val="32"/>
          <w:szCs w:val="32"/>
        </w:rPr>
        <w:t>）全面深入推进绩效管理理念</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通过绩效评价并对绩效评价结果进行应用，是落实“花钱必问效，无效必问责”的绩效理念，推进部门内部绩效管理水平不断提升的重要环节。</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3</w:t>
      </w:r>
      <w:r>
        <w:rPr>
          <w:rFonts w:ascii="仿宋_GB2312" w:hAnsi="仿宋_GB2312" w:cs="仿宋_GB2312" w:hint="eastAsia"/>
          <w:kern w:val="0"/>
          <w:sz w:val="32"/>
          <w:szCs w:val="32"/>
        </w:rPr>
        <w:t>）增加公共支出透明度，提升政府形象</w:t>
      </w:r>
    </w:p>
    <w:p w:rsidR="00477804" w:rsidRDefault="001E2B88">
      <w:pPr>
        <w:pStyle w:val="a3"/>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实施绩效目标和绩效评价报告对外“双公开”，主动接受社会监督，对实现阳光政府、激发社会公众的参与意识，提升公众对政府的信任度起到重要作用。</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w:t>
      </w:r>
      <w:r>
        <w:rPr>
          <w:rFonts w:ascii="仿宋_GB2312" w:hAnsi="仿宋_GB2312" w:cs="仿宋_GB2312" w:hint="eastAsia"/>
          <w:kern w:val="0"/>
          <w:sz w:val="32"/>
          <w:szCs w:val="32"/>
        </w:rPr>
        <w:t>、绩效评价的对象和范围</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1</w:t>
      </w:r>
      <w:r>
        <w:rPr>
          <w:rFonts w:ascii="仿宋_GB2312" w:hAnsi="仿宋_GB2312" w:cs="仿宋_GB2312" w:hint="eastAsia"/>
          <w:kern w:val="0"/>
          <w:sz w:val="32"/>
          <w:szCs w:val="32"/>
        </w:rPr>
        <w:t>）本次绩效评价对象为市儿福</w:t>
      </w:r>
      <w:r>
        <w:rPr>
          <w:rFonts w:ascii="仿宋_GB2312" w:hAnsi="仿宋_GB2312" w:cs="仿宋_GB2312" w:hint="eastAsia"/>
          <w:kern w:val="0"/>
          <w:sz w:val="32"/>
          <w:szCs w:val="32"/>
        </w:rPr>
        <w:t>2024</w:t>
      </w:r>
      <w:r>
        <w:rPr>
          <w:rFonts w:ascii="仿宋_GB2312" w:hAnsi="仿宋_GB2312" w:cs="仿宋_GB2312" w:hint="eastAsia"/>
          <w:kern w:val="0"/>
          <w:sz w:val="32"/>
          <w:szCs w:val="32"/>
        </w:rPr>
        <w:t>年“政府供养保障对象生活费”项目。</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2</w:t>
      </w:r>
      <w:r>
        <w:rPr>
          <w:rFonts w:ascii="仿宋_GB2312" w:hAnsi="仿宋_GB2312" w:cs="仿宋_GB2312" w:hint="eastAsia"/>
          <w:kern w:val="0"/>
          <w:sz w:val="32"/>
          <w:szCs w:val="32"/>
        </w:rPr>
        <w:t>）评价范围</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fldChar w:fldCharType="begin"/>
      </w:r>
      <w:r>
        <w:rPr>
          <w:rFonts w:ascii="仿宋_GB2312" w:hAnsi="仿宋_GB2312" w:cs="仿宋_GB2312" w:hint="eastAsia"/>
          <w:kern w:val="0"/>
          <w:sz w:val="32"/>
          <w:szCs w:val="32"/>
        </w:rPr>
        <w:instrText xml:space="preserve"> = 1 \* GB3 </w:instrText>
      </w:r>
      <w:r>
        <w:rPr>
          <w:rFonts w:ascii="仿宋_GB2312" w:hAnsi="仿宋_GB2312" w:cs="仿宋_GB2312" w:hint="eastAsia"/>
          <w:kern w:val="0"/>
          <w:sz w:val="32"/>
          <w:szCs w:val="32"/>
        </w:rPr>
        <w:fldChar w:fldCharType="separate"/>
      </w:r>
      <w:r>
        <w:rPr>
          <w:rFonts w:ascii="仿宋_GB2312" w:hAnsi="仿宋_GB2312" w:cs="仿宋_GB2312" w:hint="eastAsia"/>
          <w:kern w:val="0"/>
          <w:sz w:val="32"/>
          <w:szCs w:val="32"/>
        </w:rPr>
        <w:t>①</w:t>
      </w:r>
      <w:r>
        <w:rPr>
          <w:rFonts w:ascii="仿宋_GB2312" w:hAnsi="仿宋_GB2312" w:cs="仿宋_GB2312" w:hint="eastAsia"/>
          <w:kern w:val="0"/>
          <w:sz w:val="32"/>
          <w:szCs w:val="32"/>
        </w:rPr>
        <w:fldChar w:fldCharType="end"/>
      </w:r>
      <w:r>
        <w:rPr>
          <w:rFonts w:ascii="仿宋_GB2312" w:hAnsi="仿宋_GB2312" w:cs="仿宋_GB2312" w:hint="eastAsia"/>
          <w:kern w:val="0"/>
          <w:sz w:val="32"/>
          <w:szCs w:val="32"/>
        </w:rPr>
        <w:t>项目决策。主要是对项目决策依据、目标设置、决策过程等进行评价。主要评价内容为决策依据是否充分，决策程序是否规范，绩效目标是否明确、细化等。</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fldChar w:fldCharType="begin"/>
      </w:r>
      <w:r>
        <w:rPr>
          <w:rFonts w:ascii="仿宋_GB2312" w:hAnsi="仿宋_GB2312" w:cs="仿宋_GB2312" w:hint="eastAsia"/>
          <w:kern w:val="0"/>
          <w:sz w:val="32"/>
          <w:szCs w:val="32"/>
        </w:rPr>
        <w:instrText xml:space="preserve"> = 2 \* GB3 </w:instrText>
      </w:r>
      <w:r>
        <w:rPr>
          <w:rFonts w:ascii="仿宋_GB2312" w:hAnsi="仿宋_GB2312" w:cs="仿宋_GB2312" w:hint="eastAsia"/>
          <w:kern w:val="0"/>
          <w:sz w:val="32"/>
          <w:szCs w:val="32"/>
        </w:rPr>
        <w:fldChar w:fldCharType="separate"/>
      </w:r>
      <w:r>
        <w:rPr>
          <w:rFonts w:ascii="仿宋_GB2312" w:hAnsi="仿宋_GB2312" w:cs="仿宋_GB2312" w:hint="eastAsia"/>
          <w:kern w:val="0"/>
          <w:sz w:val="32"/>
          <w:szCs w:val="32"/>
        </w:rPr>
        <w:t>②</w:t>
      </w:r>
      <w:r>
        <w:rPr>
          <w:rFonts w:ascii="仿宋_GB2312" w:hAnsi="仿宋_GB2312" w:cs="仿宋_GB2312" w:hint="eastAsia"/>
          <w:kern w:val="0"/>
          <w:sz w:val="32"/>
          <w:szCs w:val="32"/>
        </w:rPr>
        <w:fldChar w:fldCharType="end"/>
      </w:r>
      <w:r>
        <w:rPr>
          <w:rFonts w:ascii="仿宋_GB2312" w:hAnsi="仿宋_GB2312" w:cs="仿宋_GB2312" w:hint="eastAsia"/>
          <w:kern w:val="0"/>
          <w:sz w:val="32"/>
          <w:szCs w:val="32"/>
        </w:rPr>
        <w:t>项目管理。主要是对项目资金及实施过程管理进行评价。主要</w:t>
      </w:r>
      <w:r>
        <w:rPr>
          <w:rFonts w:ascii="仿宋_GB2312" w:hAnsi="仿宋_GB2312" w:cs="仿宋_GB2312" w:hint="eastAsia"/>
          <w:kern w:val="0"/>
          <w:sz w:val="32"/>
          <w:szCs w:val="32"/>
        </w:rPr>
        <w:t>评价内容为预算编制是否细化、准确，是否专款专</w:t>
      </w:r>
      <w:r>
        <w:rPr>
          <w:rFonts w:ascii="仿宋_GB2312" w:hAnsi="仿宋_GB2312" w:cs="仿宋_GB2312" w:hint="eastAsia"/>
          <w:kern w:val="0"/>
          <w:sz w:val="32"/>
          <w:szCs w:val="32"/>
        </w:rPr>
        <w:lastRenderedPageBreak/>
        <w:t>用、专项核算、项目管理制度是否健全，执行是否有效等。</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fldChar w:fldCharType="begin"/>
      </w:r>
      <w:r>
        <w:rPr>
          <w:rFonts w:ascii="仿宋_GB2312" w:hAnsi="仿宋_GB2312" w:cs="仿宋_GB2312" w:hint="eastAsia"/>
          <w:kern w:val="0"/>
          <w:sz w:val="32"/>
          <w:szCs w:val="32"/>
        </w:rPr>
        <w:instrText xml:space="preserve"> = 3 \* GB3 </w:instrText>
      </w:r>
      <w:r>
        <w:rPr>
          <w:rFonts w:ascii="仿宋_GB2312" w:hAnsi="仿宋_GB2312" w:cs="仿宋_GB2312" w:hint="eastAsia"/>
          <w:kern w:val="0"/>
          <w:sz w:val="32"/>
          <w:szCs w:val="32"/>
        </w:rPr>
        <w:fldChar w:fldCharType="separate"/>
      </w:r>
      <w:r>
        <w:rPr>
          <w:rFonts w:ascii="仿宋_GB2312" w:hAnsi="仿宋_GB2312" w:cs="仿宋_GB2312" w:hint="eastAsia"/>
          <w:kern w:val="0"/>
          <w:sz w:val="32"/>
          <w:szCs w:val="32"/>
        </w:rPr>
        <w:t>③</w:t>
      </w:r>
      <w:r>
        <w:rPr>
          <w:rFonts w:ascii="仿宋_GB2312" w:hAnsi="仿宋_GB2312" w:cs="仿宋_GB2312" w:hint="eastAsia"/>
          <w:kern w:val="0"/>
          <w:sz w:val="32"/>
          <w:szCs w:val="32"/>
        </w:rPr>
        <w:fldChar w:fldCharType="end"/>
      </w:r>
      <w:r>
        <w:rPr>
          <w:rFonts w:ascii="仿宋_GB2312" w:hAnsi="仿宋_GB2312" w:cs="仿宋_GB2312" w:hint="eastAsia"/>
          <w:kern w:val="0"/>
          <w:sz w:val="32"/>
          <w:szCs w:val="32"/>
        </w:rPr>
        <w:t>项目绩效。主要是对项目产出和实施效果进行评价。主要评价内容为项目产出数量、产出质量、产出时效、产出成本是否与目标一致；项目实施产生的经济效益、社会效益、可持续影响和服务对象满意度是否达到目标要求。</w:t>
      </w:r>
    </w:p>
    <w:p w:rsidR="00477804" w:rsidRDefault="001E2B88">
      <w:pPr>
        <w:adjustRightInd w:val="0"/>
        <w:snapToGrid w:val="0"/>
        <w:spacing w:line="540" w:lineRule="exact"/>
        <w:ind w:firstLine="640"/>
        <w:outlineLvl w:val="1"/>
        <w:rPr>
          <w:rFonts w:ascii="仿宋_GB2312" w:hAnsi="仿宋_GB2312" w:cs="仿宋_GB2312"/>
          <w:sz w:val="32"/>
          <w:szCs w:val="32"/>
        </w:rPr>
      </w:pPr>
      <w:bookmarkStart w:id="15" w:name="_Toc5017"/>
      <w:r>
        <w:rPr>
          <w:rFonts w:ascii="仿宋_GB2312" w:hAnsi="仿宋_GB2312" w:cs="仿宋_GB2312" w:hint="eastAsia"/>
          <w:sz w:val="32"/>
          <w:szCs w:val="32"/>
        </w:rPr>
        <w:t>（二）绩效评价原则、评价指标体系（附表说明）、评价方法、评价标准等</w:t>
      </w:r>
      <w:bookmarkEnd w:id="15"/>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w:t>
      </w:r>
      <w:r>
        <w:rPr>
          <w:rFonts w:ascii="仿宋_GB2312" w:hAnsi="仿宋_GB2312" w:cs="仿宋_GB2312" w:hint="eastAsia"/>
          <w:kern w:val="0"/>
          <w:sz w:val="32"/>
          <w:szCs w:val="32"/>
        </w:rPr>
        <w:t>、绩效评价原则</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1</w:t>
      </w:r>
      <w:r>
        <w:rPr>
          <w:rFonts w:ascii="仿宋_GB2312" w:hAnsi="仿宋_GB2312" w:cs="仿宋_GB2312" w:hint="eastAsia"/>
          <w:kern w:val="0"/>
          <w:sz w:val="32"/>
          <w:szCs w:val="32"/>
        </w:rPr>
        <w:t>）科学公正。绩效评价应当运用科学合理的方法，按照规范的程序，对项目绩效进行客观、公正的反映。</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2</w:t>
      </w:r>
      <w:r>
        <w:rPr>
          <w:rFonts w:ascii="仿宋_GB2312" w:hAnsi="仿宋_GB2312" w:cs="仿宋_GB2312" w:hint="eastAsia"/>
          <w:kern w:val="0"/>
          <w:sz w:val="32"/>
          <w:szCs w:val="32"/>
        </w:rPr>
        <w:t>）统筹兼顾。单位自评、部门评价和财政评价应职责明确，各有侧重，相互衔接。</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3</w:t>
      </w:r>
      <w:r>
        <w:rPr>
          <w:rFonts w:ascii="仿宋_GB2312" w:hAnsi="仿宋_GB2312" w:cs="仿宋_GB2312" w:hint="eastAsia"/>
          <w:kern w:val="0"/>
          <w:sz w:val="32"/>
          <w:szCs w:val="32"/>
        </w:rPr>
        <w:t>）激励约束。绩效评价结果应用与预算安排、政策调整、改进管理实质性挂钩，体现奖优罚劣和激励相容导向，有效要安排、低效要减压、无效要问责。</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4</w:t>
      </w:r>
      <w:r>
        <w:rPr>
          <w:rFonts w:ascii="仿宋_GB2312" w:hAnsi="仿宋_GB2312" w:cs="仿宋_GB2312" w:hint="eastAsia"/>
          <w:kern w:val="0"/>
          <w:sz w:val="32"/>
          <w:szCs w:val="32"/>
        </w:rPr>
        <w:t>）公开透明。绩效评价结果应依法依规公开，并自觉接受社会监督。</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w:t>
      </w:r>
      <w:r>
        <w:rPr>
          <w:rFonts w:ascii="仿宋_GB2312" w:hAnsi="仿宋_GB2312" w:cs="仿宋_GB2312" w:hint="eastAsia"/>
          <w:kern w:val="0"/>
          <w:sz w:val="32"/>
          <w:szCs w:val="32"/>
        </w:rPr>
        <w:t>、绩效评价指标体系（附表说明）</w:t>
      </w:r>
    </w:p>
    <w:p w:rsidR="00477804" w:rsidRDefault="001E2B88">
      <w:pPr>
        <w:adjustRightInd w:val="0"/>
        <w:snapToGrid w:val="0"/>
        <w:spacing w:line="540" w:lineRule="exact"/>
        <w:ind w:firstLine="640"/>
        <w:contextualSpacing/>
        <w:rPr>
          <w:rFonts w:ascii="仿宋_GB2312" w:hAnsi="仿宋_GB2312" w:cs="仿宋_GB2312"/>
          <w:kern w:val="0"/>
          <w:sz w:val="32"/>
          <w:szCs w:val="32"/>
        </w:rPr>
        <w:sectPr w:rsidR="00477804">
          <w:footerReference w:type="default" r:id="rId20"/>
          <w:pgSz w:w="11907" w:h="16840"/>
          <w:pgMar w:top="1440" w:right="1797" w:bottom="1440" w:left="1797" w:header="851" w:footer="992" w:gutter="0"/>
          <w:pgNumType w:start="1"/>
          <w:cols w:space="720"/>
          <w:docGrid w:type="linesAndChars" w:linePitch="312"/>
        </w:sectPr>
      </w:pPr>
      <w:r>
        <w:rPr>
          <w:rFonts w:ascii="仿宋_GB2312" w:hAnsi="仿宋_GB2312" w:cs="仿宋_GB2312" w:hint="eastAsia"/>
          <w:kern w:val="0"/>
          <w:sz w:val="32"/>
          <w:szCs w:val="32"/>
        </w:rPr>
        <w:t>评价工作组根据《北京市项目支出绩效评价管理办法》（京财绩效〔</w:t>
      </w:r>
      <w:r>
        <w:rPr>
          <w:rFonts w:ascii="仿宋_GB2312" w:hAnsi="仿宋_GB2312" w:cs="仿宋_GB2312" w:hint="eastAsia"/>
          <w:kern w:val="0"/>
          <w:sz w:val="32"/>
          <w:szCs w:val="32"/>
        </w:rPr>
        <w:t>2020</w:t>
      </w:r>
      <w:r>
        <w:rPr>
          <w:rFonts w:ascii="仿宋_GB2312" w:hAnsi="仿宋_GB2312" w:cs="仿宋_GB2312" w:hint="eastAsia"/>
          <w:kern w:val="0"/>
          <w:sz w:val="32"/>
          <w:szCs w:val="32"/>
        </w:rPr>
        <w:t>〕</w:t>
      </w:r>
      <w:r>
        <w:rPr>
          <w:rFonts w:ascii="仿宋_GB2312" w:hAnsi="仿宋_GB2312" w:cs="仿宋_GB2312" w:hint="eastAsia"/>
          <w:kern w:val="0"/>
          <w:sz w:val="32"/>
          <w:szCs w:val="32"/>
        </w:rPr>
        <w:t>2146</w:t>
      </w:r>
      <w:r>
        <w:rPr>
          <w:rFonts w:ascii="仿宋_GB2312" w:hAnsi="仿宋_GB2312" w:cs="仿宋_GB2312" w:hint="eastAsia"/>
          <w:kern w:val="0"/>
          <w:sz w:val="32"/>
          <w:szCs w:val="32"/>
        </w:rPr>
        <w:t>号），结合</w:t>
      </w:r>
      <w:r>
        <w:rPr>
          <w:rFonts w:ascii="仿宋_GB2312" w:hAnsi="仿宋_GB2312" w:cs="仿宋_GB2312" w:hint="eastAsia"/>
          <w:kern w:val="0"/>
          <w:sz w:val="32"/>
          <w:szCs w:val="32"/>
        </w:rPr>
        <w:t>具体情况，在充分咨询市儿福及评价专家组意见的基础上，形成如下评价指标体系。</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noProof/>
          <w:sz w:val="32"/>
          <w:szCs w:val="32"/>
        </w:rPr>
        <w:lastRenderedPageBreak/>
        <w:drawing>
          <wp:anchor distT="0" distB="0" distL="114300" distR="114300" simplePos="0" relativeHeight="251673600" behindDoc="0" locked="0" layoutInCell="1" allowOverlap="1">
            <wp:simplePos x="0" y="0"/>
            <wp:positionH relativeFrom="column">
              <wp:posOffset>76835</wp:posOffset>
            </wp:positionH>
            <wp:positionV relativeFrom="paragraph">
              <wp:posOffset>-178435</wp:posOffset>
            </wp:positionV>
            <wp:extent cx="8663305" cy="5182870"/>
            <wp:effectExtent l="0" t="0" r="8255" b="13970"/>
            <wp:wrapNone/>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1" cstate="print"/>
                    <a:stretch>
                      <a:fillRect/>
                    </a:stretch>
                  </pic:blipFill>
                  <pic:spPr>
                    <a:xfrm>
                      <a:off x="0" y="0"/>
                      <a:ext cx="8663305" cy="5182870"/>
                    </a:xfrm>
                    <a:prstGeom prst="rect">
                      <a:avLst/>
                    </a:prstGeom>
                    <a:noFill/>
                    <a:ln>
                      <a:noFill/>
                    </a:ln>
                  </pic:spPr>
                </pic:pic>
              </a:graphicData>
            </a:graphic>
          </wp:anchor>
        </w:drawing>
      </w: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noProof/>
          <w:sz w:val="32"/>
          <w:szCs w:val="32"/>
        </w:rPr>
        <w:lastRenderedPageBreak/>
        <w:drawing>
          <wp:anchor distT="0" distB="0" distL="114300" distR="114300" simplePos="0" relativeHeight="251672576" behindDoc="0" locked="0" layoutInCell="1" allowOverlap="1">
            <wp:simplePos x="0" y="0"/>
            <wp:positionH relativeFrom="column">
              <wp:posOffset>44450</wp:posOffset>
            </wp:positionH>
            <wp:positionV relativeFrom="paragraph">
              <wp:posOffset>101600</wp:posOffset>
            </wp:positionV>
            <wp:extent cx="8759825" cy="4939665"/>
            <wp:effectExtent l="0" t="0" r="3175" b="13335"/>
            <wp:wrapNone/>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22" cstate="print"/>
                    <a:stretch>
                      <a:fillRect/>
                    </a:stretch>
                  </pic:blipFill>
                  <pic:spPr>
                    <a:xfrm>
                      <a:off x="0" y="0"/>
                      <a:ext cx="8759825" cy="4939665"/>
                    </a:xfrm>
                    <a:prstGeom prst="rect">
                      <a:avLst/>
                    </a:prstGeom>
                    <a:noFill/>
                    <a:ln>
                      <a:noFill/>
                    </a:ln>
                  </pic:spPr>
                </pic:pic>
              </a:graphicData>
            </a:graphic>
          </wp:anchor>
        </w:drawing>
      </w: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sz w:val="32"/>
          <w:szCs w:val="32"/>
        </w:rPr>
      </w:pP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br w:type="page"/>
      </w:r>
    </w:p>
    <w:p w:rsidR="00477804" w:rsidRDefault="00477804">
      <w:pPr>
        <w:pStyle w:val="a3"/>
        <w:ind w:firstLine="560"/>
      </w:pP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noProof/>
          <w:sz w:val="32"/>
          <w:szCs w:val="32"/>
        </w:rPr>
        <w:drawing>
          <wp:anchor distT="0" distB="0" distL="114300" distR="114300" simplePos="0" relativeHeight="251674624" behindDoc="0" locked="0" layoutInCell="1" allowOverlap="1">
            <wp:simplePos x="0" y="0"/>
            <wp:positionH relativeFrom="column">
              <wp:posOffset>351790</wp:posOffset>
            </wp:positionH>
            <wp:positionV relativeFrom="paragraph">
              <wp:posOffset>197485</wp:posOffset>
            </wp:positionV>
            <wp:extent cx="8453120" cy="4753610"/>
            <wp:effectExtent l="0" t="0" r="5080" b="1270"/>
            <wp:wrapNone/>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3" cstate="print"/>
                    <a:stretch>
                      <a:fillRect/>
                    </a:stretch>
                  </pic:blipFill>
                  <pic:spPr>
                    <a:xfrm>
                      <a:off x="0" y="0"/>
                      <a:ext cx="8453120" cy="4753610"/>
                    </a:xfrm>
                    <a:prstGeom prst="rect">
                      <a:avLst/>
                    </a:prstGeom>
                    <a:noFill/>
                    <a:ln>
                      <a:noFill/>
                    </a:ln>
                  </pic:spPr>
                </pic:pic>
              </a:graphicData>
            </a:graphic>
          </wp:anchor>
        </w:drawing>
      </w: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pPr>
    </w:p>
    <w:p w:rsidR="00477804" w:rsidRDefault="00477804">
      <w:pPr>
        <w:adjustRightInd w:val="0"/>
        <w:snapToGrid w:val="0"/>
        <w:spacing w:line="540" w:lineRule="exact"/>
        <w:ind w:firstLine="640"/>
        <w:contextualSpacing/>
        <w:rPr>
          <w:rFonts w:ascii="仿宋_GB2312" w:hAnsi="仿宋_GB2312" w:cs="仿宋_GB2312"/>
          <w:kern w:val="0"/>
          <w:sz w:val="32"/>
          <w:szCs w:val="32"/>
        </w:rPr>
        <w:sectPr w:rsidR="00477804">
          <w:footerReference w:type="default" r:id="rId24"/>
          <w:pgSz w:w="16840" w:h="11907" w:orient="landscape"/>
          <w:pgMar w:top="1797" w:right="1440" w:bottom="1797" w:left="1440" w:header="851" w:footer="992" w:gutter="0"/>
          <w:cols w:space="720"/>
          <w:docGrid w:type="linesAndChars" w:linePitch="381"/>
        </w:sectPr>
      </w:pP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lastRenderedPageBreak/>
        <w:t>3</w:t>
      </w:r>
      <w:r>
        <w:rPr>
          <w:rFonts w:ascii="仿宋_GB2312" w:hAnsi="仿宋_GB2312" w:cs="仿宋_GB2312" w:hint="eastAsia"/>
          <w:kern w:val="0"/>
          <w:sz w:val="32"/>
          <w:szCs w:val="32"/>
        </w:rPr>
        <w:t>、绩效评价方法</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本次绩效评价方法有比较法、因素分析法、公众评判法。</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1</w:t>
      </w:r>
      <w:r>
        <w:rPr>
          <w:rFonts w:ascii="仿宋_GB2312" w:hAnsi="仿宋_GB2312" w:cs="仿宋_GB2312" w:hint="eastAsia"/>
          <w:kern w:val="0"/>
          <w:sz w:val="32"/>
          <w:szCs w:val="32"/>
        </w:rPr>
        <w:t>）比较法。将实施情况与绩效目标进行比较。</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2</w:t>
      </w:r>
      <w:r>
        <w:rPr>
          <w:rFonts w:ascii="仿宋_GB2312" w:hAnsi="仿宋_GB2312" w:cs="仿宋_GB2312" w:hint="eastAsia"/>
          <w:kern w:val="0"/>
          <w:sz w:val="32"/>
          <w:szCs w:val="32"/>
        </w:rPr>
        <w:t>）因素分析法。综合分析影响绩效目标实现、实施效果的内外部因素。</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w:t>
      </w:r>
      <w:r>
        <w:rPr>
          <w:rFonts w:ascii="仿宋_GB2312" w:hAnsi="仿宋_GB2312" w:cs="仿宋_GB2312" w:hint="eastAsia"/>
          <w:kern w:val="0"/>
          <w:sz w:val="32"/>
          <w:szCs w:val="32"/>
        </w:rPr>
        <w:t>3</w:t>
      </w:r>
      <w:r>
        <w:rPr>
          <w:rFonts w:ascii="仿宋_GB2312" w:hAnsi="仿宋_GB2312" w:cs="仿宋_GB2312" w:hint="eastAsia"/>
          <w:kern w:val="0"/>
          <w:sz w:val="32"/>
          <w:szCs w:val="32"/>
        </w:rPr>
        <w:t>）公众评判法。是指通过专家评估、公众问卷的方式进行评判。</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4</w:t>
      </w:r>
      <w:r>
        <w:rPr>
          <w:rFonts w:ascii="仿宋_GB2312" w:hAnsi="仿宋_GB2312" w:cs="仿宋_GB2312" w:hint="eastAsia"/>
          <w:kern w:val="0"/>
          <w:sz w:val="32"/>
          <w:szCs w:val="32"/>
        </w:rPr>
        <w:t>、绩效评价标准</w:t>
      </w:r>
    </w:p>
    <w:p w:rsidR="00477804" w:rsidRDefault="001E2B88">
      <w:pPr>
        <w:pStyle w:val="a3"/>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本次绩效评价标准主要为计划标准。以预先制定的绩效目标、计划、预算作为评价标准。</w:t>
      </w:r>
    </w:p>
    <w:p w:rsidR="00477804" w:rsidRDefault="001E2B88">
      <w:pPr>
        <w:adjustRightInd w:val="0"/>
        <w:snapToGrid w:val="0"/>
        <w:spacing w:line="540" w:lineRule="exact"/>
        <w:ind w:firstLine="640"/>
        <w:outlineLvl w:val="1"/>
        <w:rPr>
          <w:rFonts w:ascii="仿宋_GB2312" w:hAnsi="仿宋_GB2312" w:cs="仿宋_GB2312"/>
          <w:kern w:val="0"/>
          <w:sz w:val="32"/>
          <w:szCs w:val="32"/>
        </w:rPr>
      </w:pPr>
      <w:bookmarkStart w:id="16" w:name="_Toc9810"/>
      <w:r>
        <w:rPr>
          <w:rFonts w:ascii="仿宋_GB2312" w:hAnsi="仿宋_GB2312" w:cs="仿宋_GB2312" w:hint="eastAsia"/>
          <w:sz w:val="32"/>
          <w:szCs w:val="32"/>
        </w:rPr>
        <w:t>（三）绩效评价工作过程</w:t>
      </w:r>
      <w:bookmarkEnd w:id="16"/>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w:t>
      </w:r>
      <w:r>
        <w:rPr>
          <w:rFonts w:ascii="仿宋_GB2312" w:hAnsi="仿宋_GB2312" w:cs="仿宋_GB2312" w:hint="eastAsia"/>
          <w:kern w:val="0"/>
          <w:sz w:val="32"/>
          <w:szCs w:val="32"/>
        </w:rPr>
        <w:t>、评价工作组接受市福利中心委托，及时与项目负责人沟通，向市儿福发送项目绩效评价资料清单、绩效报告模板，指导市儿福初步收集项目绩效评价资料。</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w:t>
      </w:r>
      <w:r>
        <w:rPr>
          <w:rFonts w:ascii="仿宋_GB2312" w:hAnsi="仿宋_GB2312" w:cs="仿宋_GB2312" w:hint="eastAsia"/>
          <w:kern w:val="0"/>
          <w:sz w:val="32"/>
          <w:szCs w:val="32"/>
        </w:rPr>
        <w:t>、评价工作组入户听取市儿福项目执行情况汇报，对市儿福相关人员进行针对性的业务培训，指导市儿福收集绩效评价资料和撰写项目绩效报告，明确项目资料提交时间节点及其他需配合完成的工作事项。</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w:t>
      </w:r>
      <w:r>
        <w:rPr>
          <w:rFonts w:ascii="仿宋_GB2312" w:hAnsi="仿宋_GB2312" w:cs="仿宋_GB2312" w:hint="eastAsia"/>
          <w:kern w:val="0"/>
          <w:sz w:val="32"/>
          <w:szCs w:val="32"/>
        </w:rPr>
        <w:t>、评价工作组在审核项目申报资料、项目实施方案、项目相关儿童服装</w:t>
      </w:r>
      <w:r>
        <w:rPr>
          <w:rFonts w:ascii="仿宋_GB2312" w:hAnsi="仿宋_GB2312" w:cs="仿宋_GB2312" w:hint="eastAsia"/>
          <w:kern w:val="0"/>
          <w:sz w:val="32"/>
          <w:szCs w:val="32"/>
        </w:rPr>
        <w:t>鞋帽及被褥采购计划、采购合同、采购入库单据、院内儿童动态统计表、院内儿童食堂食谱、儿童护理巡查记录等项目资料。</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4</w:t>
      </w:r>
      <w:r>
        <w:rPr>
          <w:rFonts w:ascii="仿宋_GB2312" w:hAnsi="仿宋_GB2312" w:cs="仿宋_GB2312" w:hint="eastAsia"/>
          <w:kern w:val="0"/>
          <w:sz w:val="32"/>
          <w:szCs w:val="32"/>
        </w:rPr>
        <w:t>、评价工作组对市儿福收集的绩效评价资料进行审核，并根据审核情况，要求项目单位进行补充和完善。</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lastRenderedPageBreak/>
        <w:t>5</w:t>
      </w:r>
      <w:r>
        <w:rPr>
          <w:rFonts w:ascii="仿宋_GB2312" w:hAnsi="仿宋_GB2312" w:cs="仿宋_GB2312" w:hint="eastAsia"/>
          <w:kern w:val="0"/>
          <w:sz w:val="32"/>
          <w:szCs w:val="32"/>
        </w:rPr>
        <w:t>、评价工作组根据项目实际情况，遴选绩效管理专家、业务专家、财政财务专家组成专家组，对项目评价工作提供咨询及指导。</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6</w:t>
      </w:r>
      <w:r>
        <w:rPr>
          <w:rFonts w:ascii="仿宋_GB2312" w:hAnsi="仿宋_GB2312" w:cs="仿宋_GB2312" w:hint="eastAsia"/>
          <w:kern w:val="0"/>
          <w:sz w:val="32"/>
          <w:szCs w:val="32"/>
        </w:rPr>
        <w:t>、评价工作组整理、汇总项目绩效评价资料，制作专家手册，并在专家会</w:t>
      </w:r>
      <w:r>
        <w:rPr>
          <w:rFonts w:ascii="仿宋_GB2312" w:hAnsi="仿宋_GB2312" w:cs="仿宋_GB2312" w:hint="eastAsia"/>
          <w:kern w:val="0"/>
          <w:sz w:val="32"/>
          <w:szCs w:val="32"/>
        </w:rPr>
        <w:t>3</w:t>
      </w:r>
      <w:r>
        <w:rPr>
          <w:rFonts w:ascii="仿宋_GB2312" w:hAnsi="仿宋_GB2312" w:cs="仿宋_GB2312" w:hint="eastAsia"/>
          <w:kern w:val="0"/>
          <w:sz w:val="32"/>
          <w:szCs w:val="32"/>
        </w:rPr>
        <w:t>日前将专家手册送至专家组成员，根据专家组反馈意见，要求市儿福进一步补充完善项目资料或者进行相关说明。</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7</w:t>
      </w:r>
      <w:r>
        <w:rPr>
          <w:rFonts w:ascii="仿宋_GB2312" w:hAnsi="仿宋_GB2312" w:cs="仿宋_GB2312" w:hint="eastAsia"/>
          <w:kern w:val="0"/>
          <w:sz w:val="32"/>
          <w:szCs w:val="32"/>
        </w:rPr>
        <w:t>、评价工作组与市</w:t>
      </w:r>
      <w:r>
        <w:rPr>
          <w:rFonts w:ascii="仿宋_GB2312" w:hAnsi="仿宋_GB2312" w:cs="仿宋_GB2312" w:hint="eastAsia"/>
          <w:kern w:val="0"/>
          <w:sz w:val="32"/>
          <w:szCs w:val="32"/>
        </w:rPr>
        <w:t>福利中心及项目单位沟通，确定绩效评价专家会日期</w:t>
      </w:r>
      <w:r>
        <w:rPr>
          <w:rFonts w:ascii="仿宋_GB2312" w:hAnsi="仿宋_GB2312" w:cs="仿宋_GB2312" w:hint="eastAsia"/>
          <w:kern w:val="0"/>
          <w:sz w:val="32"/>
          <w:szCs w:val="32"/>
        </w:rPr>
        <w:t>，市儿福准备专家会汇报材料。</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8</w:t>
      </w:r>
      <w:r>
        <w:rPr>
          <w:rFonts w:ascii="仿宋_GB2312" w:hAnsi="仿宋_GB2312" w:cs="仿宋_GB2312" w:hint="eastAsia"/>
          <w:kern w:val="0"/>
          <w:sz w:val="32"/>
          <w:szCs w:val="32"/>
        </w:rPr>
        <w:t>、评价工作组组织召开绩效评价专家会，市儿福向专家组进行项目情况汇报，专家组组长组织专家进行质询，项目单位进行有针对性地回答，专家组成员根据项目资料及评价会质询情况，出具独立的专家评价意见。</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9</w:t>
      </w:r>
      <w:r>
        <w:rPr>
          <w:rFonts w:ascii="仿宋_GB2312" w:hAnsi="仿宋_GB2312" w:cs="仿宋_GB2312" w:hint="eastAsia"/>
          <w:kern w:val="0"/>
          <w:sz w:val="32"/>
          <w:szCs w:val="32"/>
        </w:rPr>
        <w:t>、评价工作组整理、汇总专家意见，结合绩效评价专家会会议记录等资料，撰写项目绩效评价报告。</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10</w:t>
      </w:r>
      <w:r>
        <w:rPr>
          <w:rFonts w:ascii="仿宋_GB2312" w:hAnsi="仿宋_GB2312" w:cs="仿宋_GB2312" w:hint="eastAsia"/>
          <w:kern w:val="0"/>
          <w:sz w:val="32"/>
          <w:szCs w:val="32"/>
        </w:rPr>
        <w:t>、沟通反馈，出具报告。项目绩效评价报告经市福利中心审核后，提交市儿福进行意见反馈，评价工作组根据项目单位反馈意见及补充提交的资料，在评价专家组同意的基础上，出具正式纸质报告。</w:t>
      </w:r>
    </w:p>
    <w:p w:rsidR="00477804" w:rsidRDefault="001E2B88">
      <w:pPr>
        <w:widowControl/>
        <w:spacing w:beforeLines="50" w:before="190" w:afterLines="50" w:after="190" w:line="540" w:lineRule="exact"/>
        <w:ind w:firstLine="640"/>
        <w:jc w:val="left"/>
        <w:outlineLvl w:val="0"/>
        <w:rPr>
          <w:rFonts w:ascii="黑体" w:eastAsia="黑体" w:hAnsi="黑体" w:cs="黑体"/>
          <w:sz w:val="32"/>
          <w:szCs w:val="32"/>
        </w:rPr>
      </w:pPr>
      <w:bookmarkStart w:id="17" w:name="_Toc14778"/>
      <w:r>
        <w:rPr>
          <w:rFonts w:ascii="黑体" w:eastAsia="黑体" w:hAnsi="黑体" w:cs="黑体" w:hint="eastAsia"/>
          <w:color w:val="000000"/>
          <w:kern w:val="0"/>
          <w:sz w:val="32"/>
          <w:szCs w:val="32"/>
        </w:rPr>
        <w:t>三、综合评价情况及评价结论（附相关评分表）</w:t>
      </w:r>
      <w:bookmarkEnd w:id="17"/>
      <w:r>
        <w:rPr>
          <w:rFonts w:ascii="黑体" w:eastAsia="黑体" w:hAnsi="黑体" w:cs="黑体" w:hint="eastAsia"/>
          <w:color w:val="000000"/>
          <w:kern w:val="0"/>
          <w:sz w:val="32"/>
          <w:szCs w:val="32"/>
        </w:rPr>
        <w:t xml:space="preserve"> </w:t>
      </w:r>
    </w:p>
    <w:p w:rsidR="00477804" w:rsidRDefault="001E2B88">
      <w:pPr>
        <w:widowControl/>
        <w:spacing w:line="540" w:lineRule="exact"/>
        <w:ind w:firstLine="640"/>
        <w:jc w:val="left"/>
        <w:rPr>
          <w:rFonts w:ascii="仿宋_GB2312" w:hAnsi="仿宋_GB2312" w:cs="仿宋_GB2312"/>
          <w:kern w:val="0"/>
          <w:sz w:val="32"/>
          <w:szCs w:val="32"/>
        </w:rPr>
      </w:pPr>
      <w:r>
        <w:rPr>
          <w:rFonts w:ascii="仿宋_GB2312" w:hAnsi="仿宋_GB2312" w:cs="仿宋_GB2312" w:hint="eastAsia"/>
          <w:kern w:val="0"/>
          <w:sz w:val="32"/>
          <w:szCs w:val="32"/>
        </w:rPr>
        <w:t>经专家综合评价，市儿福</w:t>
      </w:r>
      <w:r>
        <w:rPr>
          <w:rFonts w:ascii="仿宋_GB2312" w:hAnsi="仿宋_GB2312" w:cs="仿宋_GB2312" w:hint="eastAsia"/>
          <w:kern w:val="0"/>
          <w:sz w:val="32"/>
          <w:szCs w:val="32"/>
        </w:rPr>
        <w:t>2024</w:t>
      </w:r>
      <w:r>
        <w:rPr>
          <w:rFonts w:ascii="仿宋_GB2312" w:hAnsi="仿宋_GB2312" w:cs="仿宋_GB2312" w:hint="eastAsia"/>
          <w:kern w:val="0"/>
          <w:sz w:val="32"/>
          <w:szCs w:val="32"/>
        </w:rPr>
        <w:t>年“政府供养保障对象生活费”项目绩效评价综合得分</w:t>
      </w:r>
      <w:r>
        <w:rPr>
          <w:rFonts w:ascii="仿宋_GB2312" w:hAnsi="仿宋_GB2312" w:cs="仿宋_GB2312" w:hint="eastAsia"/>
          <w:kern w:val="0"/>
          <w:sz w:val="32"/>
          <w:szCs w:val="32"/>
        </w:rPr>
        <w:t>92.58</w:t>
      </w:r>
      <w:r>
        <w:rPr>
          <w:rFonts w:ascii="仿宋_GB2312" w:hAnsi="仿宋_GB2312" w:cs="仿宋_GB2312" w:hint="eastAsia"/>
          <w:kern w:val="0"/>
          <w:sz w:val="32"/>
          <w:szCs w:val="32"/>
        </w:rPr>
        <w:t>分，其中：决策</w:t>
      </w:r>
      <w:r>
        <w:rPr>
          <w:rFonts w:ascii="仿宋_GB2312" w:hAnsi="仿宋_GB2312" w:cs="仿宋_GB2312" w:hint="eastAsia"/>
          <w:kern w:val="0"/>
          <w:sz w:val="32"/>
          <w:szCs w:val="32"/>
        </w:rPr>
        <w:t>9.22</w:t>
      </w:r>
      <w:r>
        <w:rPr>
          <w:rFonts w:ascii="仿宋_GB2312" w:hAnsi="仿宋_GB2312" w:cs="仿宋_GB2312" w:hint="eastAsia"/>
          <w:kern w:val="0"/>
          <w:sz w:val="32"/>
          <w:szCs w:val="32"/>
        </w:rPr>
        <w:t>分，过程</w:t>
      </w:r>
      <w:r>
        <w:rPr>
          <w:rFonts w:ascii="仿宋_GB2312" w:hAnsi="仿宋_GB2312" w:cs="仿宋_GB2312" w:hint="eastAsia"/>
          <w:kern w:val="0"/>
          <w:sz w:val="32"/>
          <w:szCs w:val="32"/>
        </w:rPr>
        <w:t>23.56</w:t>
      </w:r>
      <w:r>
        <w:rPr>
          <w:rFonts w:ascii="仿宋_GB2312" w:hAnsi="仿宋_GB2312" w:cs="仿宋_GB2312" w:hint="eastAsia"/>
          <w:kern w:val="0"/>
          <w:sz w:val="32"/>
          <w:szCs w:val="32"/>
        </w:rPr>
        <w:t>分，产出</w:t>
      </w:r>
      <w:r>
        <w:rPr>
          <w:rFonts w:ascii="仿宋_GB2312" w:hAnsi="仿宋_GB2312" w:cs="仿宋_GB2312" w:hint="eastAsia"/>
          <w:kern w:val="0"/>
          <w:sz w:val="32"/>
          <w:szCs w:val="32"/>
        </w:rPr>
        <w:t>32.50</w:t>
      </w:r>
      <w:r>
        <w:rPr>
          <w:rFonts w:ascii="仿宋_GB2312" w:hAnsi="仿宋_GB2312" w:cs="仿宋_GB2312" w:hint="eastAsia"/>
          <w:kern w:val="0"/>
          <w:sz w:val="32"/>
          <w:szCs w:val="32"/>
        </w:rPr>
        <w:t>分，效益</w:t>
      </w:r>
      <w:r>
        <w:rPr>
          <w:rFonts w:ascii="仿宋_GB2312" w:hAnsi="仿宋_GB2312" w:cs="仿宋_GB2312" w:hint="eastAsia"/>
          <w:kern w:val="0"/>
          <w:sz w:val="32"/>
          <w:szCs w:val="32"/>
        </w:rPr>
        <w:t>27.30</w:t>
      </w:r>
      <w:r>
        <w:rPr>
          <w:rFonts w:ascii="仿宋_GB2312" w:hAnsi="仿宋_GB2312" w:cs="仿宋_GB2312" w:hint="eastAsia"/>
          <w:kern w:val="0"/>
          <w:sz w:val="32"/>
          <w:szCs w:val="32"/>
        </w:rPr>
        <w:t>分，项目综合绩效评定结论为“优秀”。</w:t>
      </w:r>
    </w:p>
    <w:p w:rsidR="00477804" w:rsidRDefault="001E2B88">
      <w:pPr>
        <w:adjustRightInd w:val="0"/>
        <w:snapToGrid w:val="0"/>
        <w:spacing w:beforeLines="50" w:before="190" w:afterLines="50" w:after="190" w:line="540" w:lineRule="exact"/>
        <w:ind w:firstLine="640"/>
        <w:outlineLvl w:val="0"/>
        <w:rPr>
          <w:rFonts w:ascii="黑体" w:eastAsia="黑体" w:hAnsi="黑体" w:cs="黑体"/>
          <w:sz w:val="32"/>
          <w:szCs w:val="32"/>
        </w:rPr>
      </w:pPr>
      <w:bookmarkStart w:id="18" w:name="_Toc17143"/>
      <w:r>
        <w:rPr>
          <w:rFonts w:ascii="黑体" w:eastAsia="黑体" w:hAnsi="黑体" w:cs="黑体" w:hint="eastAsia"/>
          <w:sz w:val="32"/>
          <w:szCs w:val="32"/>
        </w:rPr>
        <w:lastRenderedPageBreak/>
        <w:t>四、绩效评价指标分析</w:t>
      </w:r>
      <w:bookmarkEnd w:id="18"/>
    </w:p>
    <w:p w:rsidR="00477804" w:rsidRDefault="001E2B88">
      <w:pPr>
        <w:adjustRightInd w:val="0"/>
        <w:snapToGrid w:val="0"/>
        <w:spacing w:line="540" w:lineRule="exact"/>
        <w:ind w:firstLine="640"/>
        <w:outlineLvl w:val="1"/>
        <w:rPr>
          <w:rFonts w:ascii="仿宋_GB2312" w:hAnsi="仿宋_GB2312" w:cs="仿宋_GB2312"/>
          <w:sz w:val="32"/>
          <w:szCs w:val="32"/>
        </w:rPr>
      </w:pPr>
      <w:bookmarkStart w:id="19" w:name="_Toc10833"/>
      <w:r>
        <w:rPr>
          <w:rFonts w:ascii="仿宋_GB2312" w:hAnsi="仿宋_GB2312" w:cs="仿宋_GB2312" w:hint="eastAsia"/>
          <w:sz w:val="32"/>
          <w:szCs w:val="32"/>
        </w:rPr>
        <w:t>（一）项目决策情况</w:t>
      </w:r>
      <w:bookmarkEnd w:id="19"/>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w:t>
      </w:r>
      <w:r>
        <w:rPr>
          <w:rFonts w:ascii="仿宋_GB2312" w:hAnsi="仿宋_GB2312" w:cs="仿宋_GB2312" w:hint="eastAsia"/>
          <w:kern w:val="0"/>
          <w:sz w:val="32"/>
          <w:szCs w:val="32"/>
        </w:rPr>
        <w:t>、项目立项</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市儿福的政府供养保障对象生活</w:t>
      </w:r>
      <w:r>
        <w:rPr>
          <w:rFonts w:ascii="仿宋_GB2312" w:hAnsi="仿宋_GB2312" w:cs="仿宋_GB2312" w:hint="eastAsia"/>
          <w:kern w:val="0"/>
          <w:sz w:val="32"/>
          <w:szCs w:val="32"/>
        </w:rPr>
        <w:t>费项目属于延续多年的经常性项目，项目的实施范围、受众人群、生活费标准均符合北京市民政局、北京市财政局联合下发的相关政策性文件要求，该项目具有明显公益性，属于公共财政支持范围。</w:t>
      </w:r>
    </w:p>
    <w:p w:rsidR="00477804" w:rsidRDefault="001E2B88">
      <w:pPr>
        <w:widowControl/>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市儿福成立于</w:t>
      </w:r>
      <w:r>
        <w:rPr>
          <w:rFonts w:ascii="仿宋_GB2312" w:hAnsi="仿宋_GB2312" w:cs="仿宋_GB2312" w:hint="eastAsia"/>
          <w:kern w:val="0"/>
          <w:sz w:val="32"/>
          <w:szCs w:val="32"/>
        </w:rPr>
        <w:t>1984</w:t>
      </w:r>
      <w:r>
        <w:rPr>
          <w:rFonts w:ascii="仿宋_GB2312" w:hAnsi="仿宋_GB2312" w:cs="仿宋_GB2312" w:hint="eastAsia"/>
          <w:kern w:val="0"/>
          <w:sz w:val="32"/>
          <w:szCs w:val="32"/>
        </w:rPr>
        <w:t>年，位于海淀区清河街道，是北京市民政局所属的全额拨款公益一类事业单位，占地面积</w:t>
      </w:r>
      <w:r>
        <w:rPr>
          <w:rFonts w:ascii="仿宋_GB2312" w:hAnsi="仿宋_GB2312" w:cs="仿宋_GB2312" w:hint="eastAsia"/>
          <w:kern w:val="0"/>
          <w:sz w:val="32"/>
          <w:szCs w:val="32"/>
        </w:rPr>
        <w:t>45.25</w:t>
      </w:r>
      <w:r>
        <w:rPr>
          <w:rFonts w:ascii="仿宋_GB2312" w:hAnsi="仿宋_GB2312" w:cs="仿宋_GB2312" w:hint="eastAsia"/>
          <w:kern w:val="0"/>
          <w:sz w:val="32"/>
          <w:szCs w:val="32"/>
        </w:rPr>
        <w:t>亩，总建筑面积约</w:t>
      </w:r>
      <w:r>
        <w:rPr>
          <w:rFonts w:ascii="仿宋_GB2312" w:hAnsi="仿宋_GB2312" w:cs="仿宋_GB2312" w:hint="eastAsia"/>
          <w:kern w:val="0"/>
          <w:sz w:val="32"/>
          <w:szCs w:val="32"/>
        </w:rPr>
        <w:t>25000</w:t>
      </w:r>
      <w:r>
        <w:rPr>
          <w:rFonts w:ascii="仿宋_GB2312" w:hAnsi="仿宋_GB2312" w:cs="仿宋_GB2312" w:hint="eastAsia"/>
          <w:kern w:val="0"/>
          <w:sz w:val="32"/>
          <w:szCs w:val="32"/>
        </w:rPr>
        <w:t>平方米，设计床位</w:t>
      </w:r>
      <w:r>
        <w:rPr>
          <w:rFonts w:ascii="仿宋_GB2312" w:hAnsi="仿宋_GB2312" w:cs="仿宋_GB2312" w:hint="eastAsia"/>
          <w:kern w:val="0"/>
          <w:sz w:val="32"/>
          <w:szCs w:val="32"/>
        </w:rPr>
        <w:t>500</w:t>
      </w:r>
      <w:r>
        <w:rPr>
          <w:rFonts w:ascii="仿宋_GB2312" w:hAnsi="仿宋_GB2312" w:cs="仿宋_GB2312" w:hint="eastAsia"/>
          <w:kern w:val="0"/>
          <w:sz w:val="32"/>
          <w:szCs w:val="32"/>
        </w:rPr>
        <w:t>张，主要收养机场分局、天安门分局、西站分局、开发区分局、清河分局等专业分局和市公安局公交总队接警处置、送医救治的弃婴。</w:t>
      </w:r>
    </w:p>
    <w:p w:rsidR="00477804" w:rsidRDefault="001E2B88">
      <w:pPr>
        <w:widowControl/>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项目立项前市儿福进行了项目实施方案制定。项目申报及实施内容与</w:t>
      </w:r>
      <w:r>
        <w:rPr>
          <w:rFonts w:ascii="仿宋_GB2312" w:hAnsi="仿宋_GB2312" w:cs="仿宋_GB2312" w:hint="eastAsia"/>
          <w:kern w:val="0"/>
          <w:sz w:val="32"/>
          <w:szCs w:val="32"/>
        </w:rPr>
        <w:t>市儿福长期规划及部门职责范围相符。</w:t>
      </w:r>
    </w:p>
    <w:p w:rsidR="00477804" w:rsidRDefault="001E2B88">
      <w:pPr>
        <w:widowControl/>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建议项目单位在项目实施方案制定过程中进一步细化项目目标、任务分工、时间节点及预期成果，确保项目实施的可行性和有效性。同时，加强与相关部门的沟通协调，确保项目资源得到合理配置和有效利用，为项目的顺利实施奠定坚实基础。</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w:t>
      </w:r>
      <w:r>
        <w:rPr>
          <w:rFonts w:ascii="仿宋_GB2312" w:hAnsi="仿宋_GB2312" w:cs="仿宋_GB2312" w:hint="eastAsia"/>
          <w:kern w:val="0"/>
          <w:sz w:val="32"/>
          <w:szCs w:val="32"/>
        </w:rPr>
        <w:t>、绩效目标</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市儿福根据困境儿童人数，依据《北京市民政局、北京市财政局关于调整困境儿童生活费标准的通知》（京民儿福发〔</w:t>
      </w:r>
      <w:r>
        <w:rPr>
          <w:rFonts w:ascii="仿宋_GB2312" w:hAnsi="仿宋_GB2312" w:cs="仿宋_GB2312" w:hint="eastAsia"/>
          <w:sz w:val="32"/>
          <w:szCs w:val="32"/>
        </w:rPr>
        <w:t>2023</w:t>
      </w:r>
      <w:r>
        <w:rPr>
          <w:rFonts w:ascii="仿宋_GB2312" w:hAnsi="仿宋_GB2312" w:cs="仿宋_GB2312" w:hint="eastAsia"/>
          <w:sz w:val="32"/>
          <w:szCs w:val="32"/>
        </w:rPr>
        <w:t>〕</w:t>
      </w:r>
      <w:r>
        <w:rPr>
          <w:rFonts w:ascii="仿宋_GB2312" w:hAnsi="仿宋_GB2312" w:cs="仿宋_GB2312" w:hint="eastAsia"/>
          <w:sz w:val="32"/>
          <w:szCs w:val="32"/>
        </w:rPr>
        <w:t>246</w:t>
      </w:r>
      <w:r>
        <w:rPr>
          <w:rFonts w:ascii="仿宋_GB2312" w:hAnsi="仿宋_GB2312" w:cs="仿宋_GB2312" w:hint="eastAsia"/>
          <w:sz w:val="32"/>
          <w:szCs w:val="32"/>
        </w:rPr>
        <w:t>号）中标准，按照机构内困境儿童基本</w:t>
      </w:r>
      <w:r>
        <w:rPr>
          <w:rFonts w:ascii="仿宋_GB2312" w:hAnsi="仿宋_GB2312" w:cs="仿宋_GB2312" w:hint="eastAsia"/>
          <w:sz w:val="32"/>
          <w:szCs w:val="32"/>
        </w:rPr>
        <w:lastRenderedPageBreak/>
        <w:t>生活费</w:t>
      </w:r>
      <w:r>
        <w:rPr>
          <w:rFonts w:ascii="仿宋_GB2312" w:hAnsi="仿宋_GB2312" w:cs="仿宋_GB2312" w:hint="eastAsia"/>
          <w:sz w:val="32"/>
          <w:szCs w:val="32"/>
        </w:rPr>
        <w:t>2650</w:t>
      </w:r>
      <w:r>
        <w:rPr>
          <w:rFonts w:ascii="仿宋_GB2312" w:hAnsi="仿宋_GB2312" w:cs="仿宋_GB2312" w:hint="eastAsia"/>
          <w:sz w:val="32"/>
          <w:szCs w:val="32"/>
        </w:rPr>
        <w:t>元</w:t>
      </w:r>
      <w:r>
        <w:rPr>
          <w:rFonts w:ascii="仿宋_GB2312" w:hAnsi="仿宋_GB2312" w:cs="仿宋_GB2312" w:hint="eastAsia"/>
          <w:sz w:val="32"/>
          <w:szCs w:val="32"/>
        </w:rPr>
        <w:t>/</w:t>
      </w:r>
      <w:r>
        <w:rPr>
          <w:rFonts w:ascii="仿宋_GB2312" w:hAnsi="仿宋_GB2312" w:cs="仿宋_GB2312" w:hint="eastAsia"/>
          <w:sz w:val="32"/>
          <w:szCs w:val="32"/>
        </w:rPr>
        <w:t>月的标准，申请</w:t>
      </w:r>
      <w:r>
        <w:rPr>
          <w:rFonts w:ascii="仿宋_GB2312" w:hAnsi="仿宋_GB2312" w:cs="仿宋_GB2312" w:hint="eastAsia"/>
          <w:sz w:val="32"/>
          <w:szCs w:val="32"/>
        </w:rPr>
        <w:t>2024</w:t>
      </w:r>
      <w:r>
        <w:rPr>
          <w:rFonts w:ascii="仿宋_GB2312" w:hAnsi="仿宋_GB2312" w:cs="仿宋_GB2312" w:hint="eastAsia"/>
          <w:sz w:val="32"/>
          <w:szCs w:val="32"/>
        </w:rPr>
        <w:t>年“</w:t>
      </w:r>
      <w:r>
        <w:rPr>
          <w:rFonts w:ascii="仿宋_GB2312" w:hAnsi="仿宋_GB2312" w:cs="仿宋_GB2312" w:hint="eastAsia"/>
          <w:kern w:val="0"/>
          <w:sz w:val="32"/>
          <w:szCs w:val="32"/>
        </w:rPr>
        <w:t>政府供养保障对象生活费</w:t>
      </w:r>
      <w:r>
        <w:rPr>
          <w:rFonts w:ascii="仿宋_GB2312" w:hAnsi="仿宋_GB2312" w:cs="仿宋_GB2312" w:hint="eastAsia"/>
          <w:sz w:val="32"/>
          <w:szCs w:val="32"/>
        </w:rPr>
        <w:t>”项目。</w:t>
      </w:r>
    </w:p>
    <w:p w:rsidR="00477804" w:rsidRDefault="001E2B88">
      <w:pPr>
        <w:pStyle w:val="a3"/>
        <w:spacing w:line="540" w:lineRule="exact"/>
        <w:ind w:firstLine="640"/>
        <w:rPr>
          <w:rFonts w:ascii="仿宋_GB2312" w:hAnsi="仿宋_GB2312" w:cs="仿宋_GB2312"/>
          <w:sz w:val="32"/>
          <w:szCs w:val="32"/>
        </w:rPr>
      </w:pPr>
      <w:r>
        <w:rPr>
          <w:rFonts w:ascii="仿宋_GB2312" w:hAnsi="仿宋_GB2312" w:cs="仿宋_GB2312" w:hint="eastAsia"/>
          <w:kern w:val="0"/>
          <w:sz w:val="32"/>
          <w:szCs w:val="32"/>
        </w:rPr>
        <w:t>项目绩效目标包括</w:t>
      </w:r>
      <w:r>
        <w:rPr>
          <w:rFonts w:ascii="仿宋_GB2312" w:hAnsi="仿宋_GB2312" w:cs="仿宋_GB2312" w:hint="eastAsia"/>
          <w:kern w:val="0"/>
          <w:sz w:val="32"/>
          <w:szCs w:val="32"/>
        </w:rPr>
        <w:t>：</w:t>
      </w:r>
      <w:r>
        <w:rPr>
          <w:rFonts w:ascii="仿宋_GB2312" w:hAnsi="仿宋_GB2312" w:cs="仿宋_GB2312" w:hint="eastAsia"/>
          <w:sz w:val="32"/>
          <w:szCs w:val="32"/>
        </w:rPr>
        <w:t>合理、科学使用孤残儿童生活费，保证孤残儿童的正常生活、医疗护理、康复教育等需要，确保儿童身心健康成长，提高基本生活自理能力，保障其合法权益，减轻社会负担，为孤残儿童自食其力、全面发展，更好、更快地回归家庭、步入社会奠定基础。</w:t>
      </w:r>
    </w:p>
    <w:p w:rsidR="00477804" w:rsidRDefault="001E2B88">
      <w:pPr>
        <w:pStyle w:val="a3"/>
        <w:spacing w:line="540" w:lineRule="exact"/>
        <w:ind w:firstLine="640"/>
        <w:rPr>
          <w:rFonts w:ascii="仿宋_GB2312" w:hAnsi="仿宋_GB2312" w:cs="仿宋_GB2312"/>
          <w:kern w:val="0"/>
          <w:sz w:val="32"/>
          <w:szCs w:val="32"/>
        </w:rPr>
      </w:pPr>
      <w:r>
        <w:rPr>
          <w:rFonts w:ascii="仿宋_GB2312" w:hAnsi="仿宋_GB2312" w:cs="仿宋_GB2312" w:hint="eastAsia"/>
          <w:kern w:val="0"/>
          <w:sz w:val="32"/>
          <w:szCs w:val="32"/>
        </w:rPr>
        <w:t>项目绩效目标设定较为合理、明确，但项目质量指标缺少明确的可比、可测、可考量的指标值；效益指标除满意度外没有具体成果和效益及社会效益的指标，建议对应细化儿童的身心发育、生活、学习等保障情况设定相应的绩效指标。</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3</w:t>
      </w:r>
      <w:r>
        <w:rPr>
          <w:rFonts w:ascii="仿宋_GB2312" w:hAnsi="仿宋_GB2312" w:cs="仿宋_GB2312" w:hint="eastAsia"/>
          <w:kern w:val="0"/>
          <w:sz w:val="32"/>
          <w:szCs w:val="32"/>
        </w:rPr>
        <w:t>、资金投入</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kern w:val="0"/>
          <w:sz w:val="32"/>
          <w:szCs w:val="32"/>
        </w:rPr>
        <w:t>项目</w:t>
      </w:r>
      <w:r>
        <w:rPr>
          <w:rFonts w:ascii="仿宋_GB2312" w:hAnsi="仿宋_GB2312" w:cs="仿宋_GB2312" w:hint="eastAsia"/>
          <w:kern w:val="0"/>
          <w:sz w:val="32"/>
          <w:szCs w:val="32"/>
        </w:rPr>
        <w:t>2024</w:t>
      </w:r>
      <w:r>
        <w:rPr>
          <w:rFonts w:ascii="仿宋_GB2312" w:hAnsi="仿宋_GB2312" w:cs="仿宋_GB2312" w:hint="eastAsia"/>
          <w:kern w:val="0"/>
          <w:sz w:val="32"/>
          <w:szCs w:val="32"/>
        </w:rPr>
        <w:t>年预算申报资金为</w:t>
      </w:r>
      <w:r>
        <w:rPr>
          <w:rFonts w:ascii="仿宋_GB2312" w:hAnsi="仿宋_GB2312" w:cs="仿宋_GB2312" w:hint="eastAsia"/>
          <w:kern w:val="0"/>
          <w:sz w:val="32"/>
          <w:szCs w:val="32"/>
        </w:rPr>
        <w:t>1001.70</w:t>
      </w:r>
      <w:r>
        <w:rPr>
          <w:rFonts w:ascii="仿宋_GB2312" w:hAnsi="仿宋_GB2312" w:cs="仿宋_GB2312" w:hint="eastAsia"/>
          <w:kern w:val="0"/>
          <w:sz w:val="32"/>
          <w:szCs w:val="32"/>
        </w:rPr>
        <w:t>万元，其中包含市级资金</w:t>
      </w:r>
      <w:r>
        <w:rPr>
          <w:rFonts w:ascii="仿宋_GB2312" w:hAnsi="仿宋_GB2312" w:cs="仿宋_GB2312" w:hint="eastAsia"/>
          <w:kern w:val="0"/>
          <w:sz w:val="32"/>
          <w:szCs w:val="32"/>
        </w:rPr>
        <w:t>888.30</w:t>
      </w:r>
      <w:r>
        <w:rPr>
          <w:rFonts w:ascii="仿宋_GB2312" w:hAnsi="仿宋_GB2312" w:cs="仿宋_GB2312" w:hint="eastAsia"/>
          <w:kern w:val="0"/>
          <w:sz w:val="32"/>
          <w:szCs w:val="32"/>
        </w:rPr>
        <w:t>万元，中央资金</w:t>
      </w:r>
      <w:r>
        <w:rPr>
          <w:rFonts w:ascii="仿宋_GB2312" w:hAnsi="仿宋_GB2312" w:cs="仿宋_GB2312" w:hint="eastAsia"/>
          <w:kern w:val="0"/>
          <w:sz w:val="32"/>
          <w:szCs w:val="32"/>
        </w:rPr>
        <w:t>113.40</w:t>
      </w:r>
      <w:r>
        <w:rPr>
          <w:rFonts w:ascii="仿宋_GB2312" w:hAnsi="仿宋_GB2312" w:cs="仿宋_GB2312" w:hint="eastAsia"/>
          <w:kern w:val="0"/>
          <w:sz w:val="32"/>
          <w:szCs w:val="32"/>
        </w:rPr>
        <w:t>万元</w:t>
      </w:r>
      <w:r>
        <w:rPr>
          <w:rFonts w:ascii="仿宋_GB2312" w:hAnsi="仿宋_GB2312" w:cs="仿宋_GB2312" w:hint="eastAsia"/>
          <w:sz w:val="32"/>
          <w:szCs w:val="32"/>
        </w:rPr>
        <w:t>。</w:t>
      </w:r>
      <w:r>
        <w:rPr>
          <w:rFonts w:ascii="仿宋_GB2312" w:hAnsi="仿宋_GB2312" w:cs="仿宋_GB2312" w:hint="eastAsia"/>
          <w:kern w:val="0"/>
          <w:sz w:val="32"/>
          <w:szCs w:val="32"/>
        </w:rPr>
        <w:t>项目预算编制较为科学、资金分配合理，且年度分项标准向上级备案及时，手续齐全。</w:t>
      </w:r>
    </w:p>
    <w:p w:rsidR="00477804" w:rsidRDefault="001E2B88">
      <w:pPr>
        <w:pStyle w:val="a3"/>
        <w:spacing w:line="540" w:lineRule="exact"/>
        <w:ind w:firstLine="640"/>
        <w:outlineLvl w:val="1"/>
        <w:rPr>
          <w:rFonts w:ascii="仿宋_GB2312" w:hAnsi="仿宋_GB2312" w:cs="仿宋_GB2312"/>
          <w:kern w:val="0"/>
          <w:sz w:val="32"/>
          <w:szCs w:val="32"/>
        </w:rPr>
      </w:pPr>
      <w:bookmarkStart w:id="20" w:name="_Toc70879786"/>
      <w:bookmarkStart w:id="21" w:name="_Toc17085"/>
      <w:r>
        <w:rPr>
          <w:rFonts w:ascii="仿宋_GB2312" w:hAnsi="仿宋_GB2312" w:cs="仿宋_GB2312" w:hint="eastAsia"/>
          <w:kern w:val="0"/>
          <w:sz w:val="32"/>
          <w:szCs w:val="32"/>
        </w:rPr>
        <w:t>（二）项目过程情况</w:t>
      </w:r>
      <w:bookmarkEnd w:id="20"/>
      <w:bookmarkEnd w:id="21"/>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1</w:t>
      </w:r>
      <w:r>
        <w:rPr>
          <w:rFonts w:ascii="仿宋_GB2312" w:hAnsi="仿宋_GB2312" w:cs="仿宋_GB2312" w:hint="eastAsia"/>
          <w:kern w:val="0"/>
          <w:sz w:val="32"/>
          <w:szCs w:val="32"/>
        </w:rPr>
        <w:t>、资金管理</w:t>
      </w:r>
    </w:p>
    <w:p w:rsidR="00477804" w:rsidRDefault="001E2B88">
      <w:pPr>
        <w:adjustRightInd w:val="0"/>
        <w:snapToGrid w:val="0"/>
        <w:spacing w:line="540" w:lineRule="exact"/>
        <w:ind w:firstLine="640"/>
        <w:contextualSpacing/>
        <w:rPr>
          <w:rFonts w:ascii="仿宋_GB2312" w:hAnsi="仿宋_GB2312" w:cs="仿宋_GB2312"/>
          <w:sz w:val="32"/>
          <w:szCs w:val="32"/>
        </w:rPr>
      </w:pPr>
      <w:r>
        <w:rPr>
          <w:rFonts w:ascii="仿宋_GB2312" w:hAnsi="仿宋_GB2312" w:cs="仿宋_GB2312" w:hint="eastAsia"/>
          <w:kern w:val="0"/>
          <w:sz w:val="32"/>
          <w:szCs w:val="32"/>
        </w:rPr>
        <w:t>项</w:t>
      </w:r>
      <w:r>
        <w:rPr>
          <w:rFonts w:ascii="仿宋_GB2312" w:hAnsi="仿宋_GB2312" w:cs="仿宋_GB2312" w:hint="eastAsia"/>
          <w:sz w:val="32"/>
          <w:szCs w:val="32"/>
        </w:rPr>
        <w:t>目年初预算批复资金</w:t>
      </w:r>
      <w:r>
        <w:rPr>
          <w:rFonts w:ascii="仿宋_GB2312" w:hAnsi="仿宋_GB2312" w:cs="仿宋_GB2312" w:hint="eastAsia"/>
          <w:sz w:val="32"/>
          <w:szCs w:val="32"/>
        </w:rPr>
        <w:t>1001.70</w:t>
      </w:r>
      <w:r>
        <w:rPr>
          <w:rFonts w:ascii="仿宋_GB2312" w:hAnsi="仿宋_GB2312" w:cs="仿宋_GB2312" w:hint="eastAsia"/>
          <w:sz w:val="32"/>
          <w:szCs w:val="32"/>
        </w:rPr>
        <w:t>万元，</w:t>
      </w:r>
      <w:r>
        <w:rPr>
          <w:rFonts w:ascii="仿宋_GB2312" w:hAnsi="仿宋_GB2312" w:cs="仿宋_GB2312" w:hint="eastAsia"/>
          <w:sz w:val="32"/>
          <w:szCs w:val="32"/>
        </w:rPr>
        <w:t>2024</w:t>
      </w:r>
      <w:r>
        <w:rPr>
          <w:rFonts w:ascii="仿宋_GB2312" w:hAnsi="仿宋_GB2312" w:cs="仿宋_GB2312" w:hint="eastAsia"/>
          <w:sz w:val="32"/>
          <w:szCs w:val="32"/>
        </w:rPr>
        <w:t>年</w:t>
      </w:r>
      <w:r>
        <w:rPr>
          <w:rFonts w:ascii="仿宋_GB2312" w:hAnsi="仿宋_GB2312" w:cs="仿宋_GB2312" w:hint="eastAsia"/>
          <w:sz w:val="32"/>
          <w:szCs w:val="32"/>
        </w:rPr>
        <w:t>10</w:t>
      </w:r>
      <w:r>
        <w:rPr>
          <w:rFonts w:ascii="仿宋_GB2312" w:hAnsi="仿宋_GB2312" w:cs="仿宋_GB2312" w:hint="eastAsia"/>
          <w:sz w:val="32"/>
          <w:szCs w:val="32"/>
        </w:rPr>
        <w:t>月，市儿福结合院内儿童实际人数情况申请了核减市级财政资金</w:t>
      </w:r>
      <w:r>
        <w:rPr>
          <w:rFonts w:ascii="仿宋_GB2312" w:hAnsi="仿宋_GB2312" w:cs="仿宋_GB2312" w:hint="eastAsia"/>
          <w:sz w:val="32"/>
          <w:szCs w:val="32"/>
        </w:rPr>
        <w:t>16.34</w:t>
      </w:r>
      <w:r>
        <w:rPr>
          <w:rFonts w:ascii="仿宋_GB2312" w:hAnsi="仿宋_GB2312" w:cs="仿宋_GB2312" w:hint="eastAsia"/>
          <w:sz w:val="32"/>
          <w:szCs w:val="32"/>
        </w:rPr>
        <w:t>万元，并取得了北京市财政局确认核减预算的函件</w:t>
      </w:r>
      <w:r>
        <w:rPr>
          <w:rFonts w:ascii="仿宋_GB2312" w:hAnsi="仿宋_GB2312" w:cs="仿宋_GB2312" w:hint="eastAsia"/>
          <w:sz w:val="32"/>
          <w:szCs w:val="32"/>
        </w:rPr>
        <w:t>（</w:t>
      </w:r>
      <w:r>
        <w:rPr>
          <w:rFonts w:ascii="仿宋_GB2312" w:hAnsi="仿宋_GB2312" w:cs="仿宋_GB2312" w:hint="eastAsia"/>
          <w:sz w:val="32"/>
          <w:szCs w:val="32"/>
        </w:rPr>
        <w:t>京财社指〔</w:t>
      </w:r>
      <w:r>
        <w:rPr>
          <w:rFonts w:ascii="仿宋_GB2312" w:hAnsi="仿宋_GB2312" w:cs="仿宋_GB2312" w:hint="eastAsia"/>
          <w:sz w:val="32"/>
          <w:szCs w:val="32"/>
        </w:rPr>
        <w:t>2024</w:t>
      </w:r>
      <w:r>
        <w:rPr>
          <w:rFonts w:ascii="仿宋_GB2312" w:hAnsi="仿宋_GB2312" w:cs="仿宋_GB2312" w:hint="eastAsia"/>
          <w:sz w:val="32"/>
          <w:szCs w:val="32"/>
        </w:rPr>
        <w:t>〕</w:t>
      </w:r>
      <w:r>
        <w:rPr>
          <w:rFonts w:ascii="仿宋_GB2312" w:hAnsi="仿宋_GB2312" w:cs="仿宋_GB2312" w:hint="eastAsia"/>
          <w:sz w:val="32"/>
          <w:szCs w:val="32"/>
        </w:rPr>
        <w:t>1642</w:t>
      </w:r>
      <w:r>
        <w:rPr>
          <w:rFonts w:ascii="仿宋_GB2312" w:hAnsi="仿宋_GB2312" w:cs="仿宋_GB2312" w:hint="eastAsia"/>
          <w:sz w:val="32"/>
          <w:szCs w:val="32"/>
        </w:rPr>
        <w:t>号</w:t>
      </w:r>
      <w:r>
        <w:rPr>
          <w:rFonts w:ascii="仿宋_GB2312" w:hAnsi="仿宋_GB2312" w:cs="仿宋_GB2312" w:hint="eastAsia"/>
          <w:sz w:val="32"/>
          <w:szCs w:val="32"/>
        </w:rPr>
        <w:t>）</w:t>
      </w:r>
      <w:r>
        <w:rPr>
          <w:rFonts w:ascii="仿宋_GB2312" w:hAnsi="仿宋_GB2312" w:cs="仿宋_GB2312" w:hint="eastAsia"/>
          <w:sz w:val="32"/>
          <w:szCs w:val="32"/>
        </w:rPr>
        <w:t>。</w:t>
      </w:r>
    </w:p>
    <w:p w:rsidR="00477804" w:rsidRDefault="001E2B88">
      <w:pPr>
        <w:adjustRightInd w:val="0"/>
        <w:snapToGrid w:val="0"/>
        <w:spacing w:line="540" w:lineRule="exact"/>
        <w:ind w:firstLine="640"/>
        <w:contextualSpacing/>
        <w:rPr>
          <w:rFonts w:ascii="仿宋_GB2312" w:hAnsi="仿宋_GB2312" w:cs="仿宋_GB2312"/>
          <w:sz w:val="32"/>
          <w:szCs w:val="32"/>
        </w:rPr>
      </w:pPr>
      <w:r>
        <w:rPr>
          <w:rFonts w:ascii="仿宋_GB2312" w:hAnsi="仿宋_GB2312" w:cs="仿宋_GB2312" w:hint="eastAsia"/>
          <w:sz w:val="32"/>
          <w:szCs w:val="32"/>
        </w:rPr>
        <w:t>项目全年预算支出</w:t>
      </w:r>
      <w:r>
        <w:rPr>
          <w:rFonts w:ascii="仿宋_GB2312" w:hAnsi="仿宋_GB2312" w:cs="仿宋_GB2312" w:hint="eastAsia"/>
          <w:sz w:val="32"/>
          <w:szCs w:val="32"/>
        </w:rPr>
        <w:t>972.65</w:t>
      </w:r>
      <w:r>
        <w:rPr>
          <w:rFonts w:ascii="仿宋_GB2312" w:hAnsi="仿宋_GB2312" w:cs="仿宋_GB2312" w:hint="eastAsia"/>
          <w:sz w:val="32"/>
          <w:szCs w:val="32"/>
        </w:rPr>
        <w:t>万元，项目总体预算执行率为</w:t>
      </w:r>
      <w:r>
        <w:rPr>
          <w:rFonts w:ascii="仿宋_GB2312" w:hAnsi="仿宋_GB2312" w:cs="仿宋_GB2312" w:hint="eastAsia"/>
          <w:sz w:val="32"/>
          <w:szCs w:val="32"/>
        </w:rPr>
        <w:lastRenderedPageBreak/>
        <w:t>99.09%</w:t>
      </w:r>
      <w:r>
        <w:rPr>
          <w:rFonts w:ascii="仿宋_GB2312" w:hAnsi="仿宋_GB2312" w:cs="仿宋_GB2312" w:hint="eastAsia"/>
          <w:sz w:val="32"/>
          <w:szCs w:val="32"/>
        </w:rPr>
        <w:t>；其中：政府供养保障对象生活费（市级财政资金）支出</w:t>
      </w:r>
      <w:r>
        <w:rPr>
          <w:rFonts w:ascii="仿宋_GB2312" w:hAnsi="仿宋_GB2312" w:cs="仿宋_GB2312" w:hint="eastAsia"/>
          <w:sz w:val="32"/>
          <w:szCs w:val="32"/>
        </w:rPr>
        <w:t>859.25</w:t>
      </w:r>
      <w:r>
        <w:rPr>
          <w:rFonts w:ascii="仿宋_GB2312" w:hAnsi="仿宋_GB2312" w:cs="仿宋_GB2312" w:hint="eastAsia"/>
          <w:sz w:val="32"/>
          <w:szCs w:val="32"/>
        </w:rPr>
        <w:t>万元，预算执行率为</w:t>
      </w:r>
      <w:r>
        <w:rPr>
          <w:rFonts w:ascii="仿宋_GB2312" w:hAnsi="仿宋_GB2312" w:cs="仿宋_GB2312" w:hint="eastAsia"/>
          <w:sz w:val="32"/>
          <w:szCs w:val="32"/>
        </w:rPr>
        <w:t>98.54%</w:t>
      </w:r>
      <w:r>
        <w:rPr>
          <w:rFonts w:ascii="仿宋_GB2312" w:hAnsi="仿宋_GB2312" w:cs="仿宋_GB2312" w:hint="eastAsia"/>
          <w:sz w:val="32"/>
          <w:szCs w:val="32"/>
        </w:rPr>
        <w:t>；政府供养保障对象生活费（中央资金）</w:t>
      </w:r>
      <w:r>
        <w:rPr>
          <w:rFonts w:ascii="仿宋_GB2312" w:hAnsi="仿宋_GB2312" w:cs="仿宋_GB2312" w:hint="eastAsia"/>
          <w:sz w:val="32"/>
          <w:szCs w:val="32"/>
        </w:rPr>
        <w:t>113.40</w:t>
      </w:r>
      <w:r>
        <w:rPr>
          <w:rFonts w:ascii="仿宋_GB2312" w:hAnsi="仿宋_GB2312" w:cs="仿宋_GB2312" w:hint="eastAsia"/>
          <w:sz w:val="32"/>
          <w:szCs w:val="32"/>
        </w:rPr>
        <w:t>万元，预算执行率为</w:t>
      </w:r>
      <w:r>
        <w:rPr>
          <w:rFonts w:ascii="仿宋_GB2312" w:hAnsi="仿宋_GB2312" w:cs="仿宋_GB2312" w:hint="eastAsia"/>
          <w:sz w:val="32"/>
          <w:szCs w:val="32"/>
        </w:rPr>
        <w:t>100.00%</w:t>
      </w:r>
      <w:r>
        <w:rPr>
          <w:rFonts w:ascii="仿宋_GB2312" w:hAnsi="仿宋_GB2312" w:cs="仿宋_GB2312" w:hint="eastAsia"/>
          <w:sz w:val="32"/>
          <w:szCs w:val="32"/>
        </w:rPr>
        <w:t>；项目年末结余资金</w:t>
      </w:r>
      <w:r>
        <w:rPr>
          <w:rFonts w:ascii="仿宋_GB2312" w:hAnsi="仿宋_GB2312" w:cs="仿宋_GB2312" w:hint="eastAsia"/>
          <w:sz w:val="32"/>
          <w:szCs w:val="32"/>
        </w:rPr>
        <w:t>12.71</w:t>
      </w:r>
      <w:r>
        <w:rPr>
          <w:rFonts w:ascii="仿宋_GB2312" w:hAnsi="仿宋_GB2312" w:cs="仿宋_GB2312" w:hint="eastAsia"/>
          <w:sz w:val="32"/>
          <w:szCs w:val="32"/>
        </w:rPr>
        <w:t>万元已于年末统一上缴市财政。</w:t>
      </w:r>
    </w:p>
    <w:p w:rsidR="00477804" w:rsidRDefault="001E2B88">
      <w:pPr>
        <w:adjustRightInd w:val="0"/>
        <w:snapToGrid w:val="0"/>
        <w:spacing w:line="540" w:lineRule="exact"/>
        <w:ind w:firstLine="640"/>
        <w:contextualSpacing/>
        <w:rPr>
          <w:rFonts w:ascii="仿宋_GB2312" w:hAnsi="仿宋_GB2312" w:cs="仿宋_GB2312"/>
          <w:sz w:val="32"/>
          <w:szCs w:val="32"/>
        </w:rPr>
      </w:pPr>
      <w:r>
        <w:rPr>
          <w:rFonts w:ascii="仿宋_GB2312" w:hAnsi="仿宋_GB2312" w:cs="仿宋_GB2312" w:hint="eastAsia"/>
          <w:sz w:val="32"/>
          <w:szCs w:val="32"/>
        </w:rPr>
        <w:t>为确保政府供养保障对象生活费项目资金的顺利实施，儿福制定了“政府供养保障对象生活费”管理办法、预算管理制度、资产管理办法、项目资金管理制度、政府采购管理办法、财务报销有关规定等制度，通过这些制度对项目在资金申请、使用</w:t>
      </w:r>
      <w:r>
        <w:rPr>
          <w:rFonts w:ascii="仿宋_GB2312" w:hAnsi="仿宋_GB2312" w:cs="仿宋_GB2312" w:hint="eastAsia"/>
          <w:sz w:val="32"/>
          <w:szCs w:val="32"/>
        </w:rPr>
        <w:t>、采购、报销、出入库等环节进行控制，保证项目资金使用的规范性和效益性。</w:t>
      </w:r>
    </w:p>
    <w:p w:rsidR="00477804" w:rsidRDefault="001E2B88">
      <w:pPr>
        <w:adjustRightInd w:val="0"/>
        <w:snapToGrid w:val="0"/>
        <w:spacing w:line="540" w:lineRule="exact"/>
        <w:ind w:firstLine="640"/>
        <w:contextualSpacing/>
        <w:rPr>
          <w:rFonts w:ascii="仿宋_GB2312" w:hAnsi="仿宋_GB2312" w:cs="仿宋_GB2312"/>
          <w:sz w:val="32"/>
          <w:szCs w:val="32"/>
        </w:rPr>
      </w:pPr>
      <w:r>
        <w:rPr>
          <w:rFonts w:ascii="仿宋_GB2312" w:hAnsi="仿宋_GB2312" w:cs="仿宋_GB2312" w:hint="eastAsia"/>
          <w:sz w:val="32"/>
          <w:szCs w:val="32"/>
        </w:rPr>
        <w:t>同时市儿福结合单位实际情况对《内部控制手册》（</w:t>
      </w:r>
      <w:r>
        <w:rPr>
          <w:rFonts w:ascii="仿宋_GB2312" w:hAnsi="仿宋_GB2312" w:cs="仿宋_GB2312" w:hint="eastAsia"/>
          <w:sz w:val="32"/>
          <w:szCs w:val="32"/>
        </w:rPr>
        <w:t>2023</w:t>
      </w:r>
      <w:r>
        <w:rPr>
          <w:rFonts w:ascii="仿宋_GB2312" w:hAnsi="仿宋_GB2312" w:cs="仿宋_GB2312" w:hint="eastAsia"/>
          <w:sz w:val="32"/>
          <w:szCs w:val="32"/>
        </w:rPr>
        <w:t>年）进行了补充修订工作，通过内控流程进一步控制资金使用环节。</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2</w:t>
      </w:r>
      <w:r>
        <w:rPr>
          <w:rFonts w:ascii="仿宋_GB2312" w:hAnsi="仿宋_GB2312" w:cs="仿宋_GB2312" w:hint="eastAsia"/>
          <w:kern w:val="0"/>
          <w:sz w:val="32"/>
          <w:szCs w:val="32"/>
        </w:rPr>
        <w:t>、组织实施</w:t>
      </w:r>
    </w:p>
    <w:p w:rsidR="00477804" w:rsidRDefault="001E2B88">
      <w:pPr>
        <w:adjustRightInd w:val="0"/>
        <w:snapToGrid w:val="0"/>
        <w:spacing w:line="540" w:lineRule="exact"/>
        <w:ind w:firstLine="640"/>
        <w:contextualSpacing/>
        <w:rPr>
          <w:rFonts w:ascii="仿宋_GB2312" w:hAnsi="仿宋_GB2312" w:cs="仿宋_GB2312"/>
          <w:sz w:val="32"/>
          <w:szCs w:val="32"/>
          <w:highlight w:val="yellow"/>
        </w:rPr>
      </w:pPr>
      <w:r>
        <w:rPr>
          <w:rFonts w:ascii="仿宋_GB2312" w:hAnsi="仿宋_GB2312" w:cs="仿宋_GB2312" w:hint="eastAsia"/>
          <w:sz w:val="32"/>
          <w:szCs w:val="32"/>
        </w:rPr>
        <w:t>为保障项目顺利实施，儿福成立了项目领导小组，由院长担任组长，业务副院长、行政副院长、财务副院长为副组长；具体工作由财务科、医务科、康教科、养育一科、养育二科、膳食科、行政科、社工科共同实施。</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市儿福根据儿童年龄、残疾程度、身体状况等情况共设康复示范中心、特教中心等</w:t>
      </w:r>
      <w:r>
        <w:rPr>
          <w:rFonts w:ascii="仿宋_GB2312" w:hAnsi="仿宋_GB2312" w:cs="仿宋_GB2312" w:hint="eastAsia"/>
          <w:sz w:val="32"/>
          <w:szCs w:val="32"/>
        </w:rPr>
        <w:t>11</w:t>
      </w:r>
      <w:r>
        <w:rPr>
          <w:rFonts w:ascii="仿宋_GB2312" w:hAnsi="仿宋_GB2312" w:cs="仿宋_GB2312" w:hint="eastAsia"/>
          <w:sz w:val="32"/>
          <w:szCs w:val="32"/>
        </w:rPr>
        <w:t>个儿童养护区；膳食科、社工科、行政管理科等</w:t>
      </w:r>
      <w:r>
        <w:rPr>
          <w:rFonts w:ascii="仿宋_GB2312" w:hAnsi="仿宋_GB2312" w:cs="仿宋_GB2312" w:hint="eastAsia"/>
          <w:sz w:val="32"/>
          <w:szCs w:val="32"/>
        </w:rPr>
        <w:t>服务保障科室，为孤残儿童提供饮食保障、物资采购、心理咨询辅导等服务保障。具体科室工作内容列举如下：</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医务科、康教科、养育一科、养育二科：负责孤残儿</w:t>
      </w:r>
      <w:r>
        <w:rPr>
          <w:rFonts w:ascii="仿宋_GB2312" w:hAnsi="仿宋_GB2312" w:cs="仿宋_GB2312" w:hint="eastAsia"/>
          <w:sz w:val="32"/>
          <w:szCs w:val="32"/>
        </w:rPr>
        <w:lastRenderedPageBreak/>
        <w:t>童养育、护理等工作需求论证、组织申报资料，制定实施计划并组织实施；提供工作制度、规范、工作资料等的收集。</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社工科：负责提供孤残儿童小组活动、个案分析工作需求论证、组织申报资料，制定实施计划并组织实施；负责送养工作需求论证、组织申报资料，制定实施计划并组织实施；提供工作制度、规范、工作资料等的收集。</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膳食科：根据孤残儿童养护部门的要求，根据不同儿童身体状况和饮食需求</w:t>
      </w:r>
      <w:r>
        <w:rPr>
          <w:rFonts w:ascii="仿宋_GB2312" w:hAnsi="仿宋_GB2312" w:cs="仿宋_GB2312" w:hint="eastAsia"/>
          <w:sz w:val="32"/>
          <w:szCs w:val="32"/>
        </w:rPr>
        <w:t>制定食谱，每天为养护区儿童供应三顿普食、两顿软食、三顿奶粉，同时为能进食水果的儿童供应应季新鲜水果，针对住院儿童及身体抵抗力较差儿童为其购买高能奶粉，提高儿童免疫力。</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行政科：根据孤残儿童养护部门的要求，负责后勤保障、物品采购、制定相关实施计划并组织实施；提供工作制度、规范、工作资料等的收集。</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计财科：根据资金使用部门需求，申请项目预算资金；按照预算资金批复内容及孤残儿童的实际需求监管资金的使用；做好项目资金的收支、财务核算等工作，确保项目资金专款专用。</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2024</w:t>
      </w:r>
      <w:r>
        <w:rPr>
          <w:rFonts w:ascii="仿宋_GB2312" w:hAnsi="仿宋_GB2312" w:cs="仿宋_GB2312" w:hint="eastAsia"/>
          <w:sz w:val="32"/>
          <w:szCs w:val="32"/>
        </w:rPr>
        <w:t>年度项目在实施过程中，市儿福制定了后勤保障、</w:t>
      </w:r>
      <w:r>
        <w:rPr>
          <w:rFonts w:ascii="仿宋_GB2312" w:hAnsi="仿宋_GB2312" w:cs="仿宋_GB2312" w:hint="eastAsia"/>
          <w:sz w:val="32"/>
          <w:szCs w:val="32"/>
        </w:rPr>
        <w:t>安全保卫和业务安全诸多项应急预案；其中后期保障应急预案，涉及突发公共卫生事件、自然灾害、交通安全、防汛安全、食物中毒等；业务安全应急预案包括重大疫情防控、传染病疫情防控、突发事件医疗救援、医疗护理事故、</w:t>
      </w:r>
      <w:r>
        <w:rPr>
          <w:rFonts w:ascii="仿宋_GB2312" w:hAnsi="仿宋_GB2312" w:cs="仿宋_GB2312" w:hint="eastAsia"/>
          <w:sz w:val="32"/>
          <w:szCs w:val="32"/>
        </w:rPr>
        <w:lastRenderedPageBreak/>
        <w:t>儿童意外伤害等应急处置预案。</w:t>
      </w:r>
    </w:p>
    <w:p w:rsidR="00477804" w:rsidRDefault="001E2B88">
      <w:pPr>
        <w:spacing w:line="540" w:lineRule="exact"/>
        <w:ind w:firstLine="640"/>
        <w:rPr>
          <w:rFonts w:ascii="仿宋_GB2312" w:hAnsi="仿宋_GB2312" w:cs="仿宋_GB2312"/>
          <w:sz w:val="32"/>
          <w:szCs w:val="32"/>
          <w:highlight w:val="yellow"/>
        </w:rPr>
      </w:pPr>
      <w:r>
        <w:rPr>
          <w:rFonts w:ascii="仿宋_GB2312" w:hAnsi="仿宋_GB2312" w:cs="仿宋_GB2312" w:hint="eastAsia"/>
          <w:sz w:val="32"/>
          <w:szCs w:val="32"/>
        </w:rPr>
        <w:t>市儿福项目组织分工明确，责任划分清晰，机构及人员配置合理，为政府供养保障对象生活费的实施，困境儿童的养育工作和生命安全提供了有效保障。</w:t>
      </w:r>
    </w:p>
    <w:p w:rsidR="00477804" w:rsidRDefault="001E2B88">
      <w:pPr>
        <w:adjustRightInd w:val="0"/>
        <w:snapToGrid w:val="0"/>
        <w:spacing w:line="540" w:lineRule="exact"/>
        <w:ind w:firstLine="640"/>
        <w:outlineLvl w:val="1"/>
        <w:rPr>
          <w:rFonts w:ascii="仿宋_GB2312" w:hAnsi="仿宋_GB2312" w:cs="仿宋_GB2312"/>
          <w:sz w:val="32"/>
          <w:szCs w:val="32"/>
        </w:rPr>
      </w:pPr>
      <w:bookmarkStart w:id="22" w:name="_Toc70879787"/>
      <w:bookmarkStart w:id="23" w:name="_Toc18174"/>
      <w:r>
        <w:rPr>
          <w:rFonts w:ascii="仿宋_GB2312" w:hAnsi="仿宋_GB2312" w:cs="仿宋_GB2312" w:hint="eastAsia"/>
          <w:sz w:val="32"/>
          <w:szCs w:val="32"/>
        </w:rPr>
        <w:t>（三）项目产出情况</w:t>
      </w:r>
      <w:bookmarkEnd w:id="22"/>
      <w:bookmarkEnd w:id="23"/>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项目截至</w:t>
      </w:r>
      <w:r>
        <w:rPr>
          <w:rFonts w:ascii="仿宋_GB2312" w:hAnsi="仿宋_GB2312" w:cs="仿宋_GB2312" w:hint="eastAsia"/>
          <w:sz w:val="32"/>
          <w:szCs w:val="32"/>
        </w:rPr>
        <w:t>2024</w:t>
      </w:r>
      <w:r>
        <w:rPr>
          <w:rFonts w:ascii="仿宋_GB2312" w:hAnsi="仿宋_GB2312" w:cs="仿宋_GB2312" w:hint="eastAsia"/>
          <w:sz w:val="32"/>
          <w:szCs w:val="32"/>
        </w:rPr>
        <w:t>年末具体产出情况如下：</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1</w:t>
      </w:r>
      <w:r>
        <w:rPr>
          <w:rFonts w:ascii="仿宋_GB2312" w:hAnsi="仿宋_GB2312" w:cs="仿宋_GB2312" w:hint="eastAsia"/>
          <w:sz w:val="32"/>
          <w:szCs w:val="32"/>
        </w:rPr>
        <w:t>）在膳食管理方面</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市儿福严格按照国家对食品卫生和儿童身体健康的要求、标准和制度，</w:t>
      </w:r>
      <w:r>
        <w:rPr>
          <w:rFonts w:ascii="仿宋_GB2312" w:hAnsi="仿宋_GB2312" w:cs="仿宋_GB2312" w:hint="eastAsia"/>
          <w:sz w:val="32"/>
          <w:szCs w:val="32"/>
        </w:rPr>
        <w:t>根据困境儿童的个性化需求，依据膳食工作人员和医生的建议，制定适合于不同年龄、不同时期、不同身体状况的孩子食谱，为院内儿童提供营养配餐，包括普食、软食、半流食、婴幼儿奶、治疗饮食等，做到合理搭配、营养均衡，满足儿童健康成长所需。</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同时根据儿童生长监测评估结果、疾病及残疾情况，有针对性的制定喂养方案，为不同年龄段的婴幼儿增加辅食，蛋白粉等，混合奶，蛋羹，半流食，碎的普食和普通的普食以及特殊饮食；根据儿童病情需要，短期为儿童制作疾病饮食。</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2024</w:t>
      </w:r>
      <w:r>
        <w:rPr>
          <w:rFonts w:ascii="仿宋_GB2312" w:hAnsi="仿宋_GB2312" w:cs="仿宋_GB2312" w:hint="eastAsia"/>
          <w:sz w:val="32"/>
          <w:szCs w:val="32"/>
        </w:rPr>
        <w:t>年市儿福在北京市营养师协会支持下，探索开展孤残儿童营养配餐项目，根</w:t>
      </w:r>
      <w:r>
        <w:rPr>
          <w:rFonts w:ascii="仿宋_GB2312" w:hAnsi="仿宋_GB2312" w:cs="仿宋_GB2312" w:hint="eastAsia"/>
          <w:sz w:val="32"/>
          <w:szCs w:val="32"/>
        </w:rPr>
        <w:t>据儿童生长监测评估结果，有针对性地制定喂养方案，并视情况随时调整改进，多方面补充营养，有效提升儿童免疫力，降低儿童的发病率。参与营养干预实验的儿童在关键指标上实现明显改善，取得阶段性成效。</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lastRenderedPageBreak/>
        <w:t>目前市儿福正在持续推进前期研究成果的再磨合、再检验和再调整，努力推动分类喂养从经验化向专业化、规范化、体系化、协同化发展，形成可复制、可推广的孤残儿童营养干预工作流程和体系。</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2</w:t>
      </w:r>
      <w:r>
        <w:rPr>
          <w:rFonts w:ascii="仿宋_GB2312" w:hAnsi="仿宋_GB2312" w:cs="仿宋_GB2312" w:hint="eastAsia"/>
          <w:sz w:val="32"/>
          <w:szCs w:val="32"/>
        </w:rPr>
        <w:t>）在生活照料方面</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市儿福对新入院困境儿童，进行隔离、观察、日常生活照料；传染病儿隔离、疑难杂症儿</w:t>
      </w:r>
      <w:r>
        <w:rPr>
          <w:rFonts w:ascii="仿宋_GB2312" w:hAnsi="仿宋_GB2312" w:cs="仿宋_GB2312" w:hint="eastAsia"/>
          <w:sz w:val="32"/>
          <w:szCs w:val="32"/>
        </w:rPr>
        <w:t>童</w:t>
      </w:r>
      <w:r>
        <w:rPr>
          <w:rFonts w:ascii="仿宋_GB2312" w:hAnsi="仿宋_GB2312" w:cs="仿宋_GB2312" w:hint="eastAsia"/>
          <w:sz w:val="32"/>
          <w:szCs w:val="32"/>
        </w:rPr>
        <w:t>的姑息治疗及特殊儿童治疗照料；危重儿童的临终关怀；完成全院困境儿童年度体检、生长监测、外院就诊等护理保健工作；同时根据儿童的年龄、身体状况，以及日常生活的需要，在服装、被褥、尿布、洗漱用具等日用品、生活必需品的购置和配备，做到量入为出，合理搭配，因人、因时而异，按采购计划及实际需求购置及领用，保证日常穿戴干净整洁得体，节假日里营造喜庆的节日气氛，四季床上用品洁净并且随季节变化及时调整。</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2024</w:t>
      </w:r>
      <w:r>
        <w:rPr>
          <w:rFonts w:ascii="仿宋_GB2312" w:hAnsi="仿宋_GB2312" w:cs="仿宋_GB2312" w:hint="eastAsia"/>
          <w:sz w:val="32"/>
          <w:szCs w:val="32"/>
        </w:rPr>
        <w:t>年市儿福保障每日对居室擦拭和空气消毒，对儿童基础性口腔护理</w:t>
      </w:r>
      <w:r>
        <w:rPr>
          <w:rFonts w:ascii="仿宋_GB2312" w:hAnsi="仿宋_GB2312" w:cs="仿宋_GB2312" w:hint="eastAsia"/>
          <w:sz w:val="32"/>
          <w:szCs w:val="32"/>
        </w:rPr>
        <w:t>2</w:t>
      </w:r>
      <w:r>
        <w:rPr>
          <w:rFonts w:ascii="仿宋_GB2312" w:hAnsi="仿宋_GB2312" w:cs="仿宋_GB2312" w:hint="eastAsia"/>
          <w:sz w:val="32"/>
          <w:szCs w:val="32"/>
        </w:rPr>
        <w:t>—</w:t>
      </w:r>
      <w:r>
        <w:rPr>
          <w:rFonts w:ascii="仿宋_GB2312" w:hAnsi="仿宋_GB2312" w:cs="仿宋_GB2312" w:hint="eastAsia"/>
          <w:sz w:val="32"/>
          <w:szCs w:val="32"/>
        </w:rPr>
        <w:t>3</w:t>
      </w:r>
      <w:r>
        <w:rPr>
          <w:rFonts w:ascii="仿宋_GB2312" w:hAnsi="仿宋_GB2312" w:cs="仿宋_GB2312" w:hint="eastAsia"/>
          <w:sz w:val="32"/>
          <w:szCs w:val="32"/>
        </w:rPr>
        <w:t>次，每日对不能自理儿童进行三餐喂食；每周对儿童床进</w:t>
      </w:r>
      <w:r>
        <w:rPr>
          <w:rFonts w:ascii="仿宋_GB2312" w:hAnsi="仿宋_GB2312" w:cs="仿宋_GB2312" w:hint="eastAsia"/>
          <w:sz w:val="32"/>
          <w:szCs w:val="32"/>
        </w:rPr>
        <w:t>行消毒；每月为儿童进行沐浴平均</w:t>
      </w:r>
      <w:r>
        <w:rPr>
          <w:rFonts w:ascii="仿宋_GB2312" w:hAnsi="仿宋_GB2312" w:cs="仿宋_GB2312" w:hint="eastAsia"/>
          <w:sz w:val="32"/>
          <w:szCs w:val="32"/>
        </w:rPr>
        <w:t>14</w:t>
      </w:r>
      <w:r>
        <w:rPr>
          <w:rFonts w:ascii="仿宋_GB2312" w:hAnsi="仿宋_GB2312" w:cs="仿宋_GB2312" w:hint="eastAsia"/>
          <w:sz w:val="32"/>
          <w:szCs w:val="32"/>
        </w:rPr>
        <w:t>—</w:t>
      </w:r>
      <w:r>
        <w:rPr>
          <w:rFonts w:ascii="仿宋_GB2312" w:hAnsi="仿宋_GB2312" w:cs="仿宋_GB2312" w:hint="eastAsia"/>
          <w:sz w:val="32"/>
          <w:szCs w:val="32"/>
        </w:rPr>
        <w:t>18</w:t>
      </w:r>
      <w:r>
        <w:rPr>
          <w:rFonts w:ascii="仿宋_GB2312" w:hAnsi="仿宋_GB2312" w:cs="仿宋_GB2312" w:hint="eastAsia"/>
          <w:sz w:val="32"/>
          <w:szCs w:val="32"/>
        </w:rPr>
        <w:t>次，对患病儿童按照医嘱进行护理等。确保了孤残儿童享有舒适、清洁、安全的日常生活。</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3</w:t>
      </w:r>
      <w:r>
        <w:rPr>
          <w:rFonts w:ascii="仿宋_GB2312" w:hAnsi="仿宋_GB2312" w:cs="仿宋_GB2312" w:hint="eastAsia"/>
          <w:sz w:val="32"/>
          <w:szCs w:val="32"/>
        </w:rPr>
        <w:t>）在医疗保健方面</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市儿福严格落实医疗标准规范，加强院内感染防控工作，组织传染病防治培训，重点做好季节性传染病防治工作，医护人员</w:t>
      </w:r>
      <w:r>
        <w:rPr>
          <w:rFonts w:ascii="仿宋_GB2312" w:hAnsi="仿宋_GB2312" w:cs="仿宋_GB2312" w:hint="eastAsia"/>
          <w:sz w:val="32"/>
          <w:szCs w:val="32"/>
        </w:rPr>
        <w:t>24</w:t>
      </w:r>
      <w:r>
        <w:rPr>
          <w:rFonts w:ascii="仿宋_GB2312" w:hAnsi="仿宋_GB2312" w:cs="仿宋_GB2312" w:hint="eastAsia"/>
          <w:sz w:val="32"/>
          <w:szCs w:val="32"/>
        </w:rPr>
        <w:t>小时提供常见病多发病诊疗服务，完成儿</w:t>
      </w:r>
      <w:r>
        <w:rPr>
          <w:rFonts w:ascii="仿宋_GB2312" w:hAnsi="仿宋_GB2312" w:cs="仿宋_GB2312" w:hint="eastAsia"/>
          <w:sz w:val="32"/>
          <w:szCs w:val="32"/>
        </w:rPr>
        <w:lastRenderedPageBreak/>
        <w:t>童日常诊疗及医疗区、隔离区护理工作；对全院重点部位、关键岗位定期检查，开展院感抽查</w:t>
      </w:r>
      <w:r>
        <w:rPr>
          <w:rFonts w:ascii="仿宋_GB2312" w:hAnsi="仿宋_GB2312" w:cs="仿宋_GB2312" w:hint="eastAsia"/>
          <w:sz w:val="32"/>
          <w:szCs w:val="32"/>
        </w:rPr>
        <w:t>22</w:t>
      </w:r>
      <w:r>
        <w:rPr>
          <w:rFonts w:ascii="仿宋_GB2312" w:hAnsi="仿宋_GB2312" w:cs="仿宋_GB2312" w:hint="eastAsia"/>
          <w:sz w:val="32"/>
          <w:szCs w:val="32"/>
        </w:rPr>
        <w:t>次。严格做好医疗质量考核工作，共检查处方</w:t>
      </w:r>
      <w:r>
        <w:rPr>
          <w:rFonts w:ascii="仿宋_GB2312" w:hAnsi="仿宋_GB2312" w:cs="仿宋_GB2312" w:hint="eastAsia"/>
          <w:sz w:val="32"/>
          <w:szCs w:val="32"/>
        </w:rPr>
        <w:t>4039</w:t>
      </w:r>
      <w:r>
        <w:rPr>
          <w:rFonts w:ascii="仿宋_GB2312" w:hAnsi="仿宋_GB2312" w:cs="仿宋_GB2312" w:hint="eastAsia"/>
          <w:sz w:val="32"/>
          <w:szCs w:val="32"/>
        </w:rPr>
        <w:t>份，合格率</w:t>
      </w:r>
      <w:r>
        <w:rPr>
          <w:rFonts w:ascii="仿宋_GB2312" w:hAnsi="仿宋_GB2312" w:cs="仿宋_GB2312" w:hint="eastAsia"/>
          <w:sz w:val="32"/>
          <w:szCs w:val="32"/>
        </w:rPr>
        <w:t>99%</w:t>
      </w:r>
      <w:r>
        <w:rPr>
          <w:rFonts w:ascii="仿宋_GB2312" w:hAnsi="仿宋_GB2312" w:cs="仿宋_GB2312" w:hint="eastAsia"/>
          <w:sz w:val="32"/>
          <w:szCs w:val="32"/>
        </w:rPr>
        <w:t>，儿童成长档案</w:t>
      </w:r>
      <w:r>
        <w:rPr>
          <w:rFonts w:ascii="仿宋_GB2312" w:hAnsi="仿宋_GB2312" w:cs="仿宋_GB2312" w:hint="eastAsia"/>
          <w:sz w:val="32"/>
          <w:szCs w:val="32"/>
        </w:rPr>
        <w:t>220</w:t>
      </w:r>
      <w:r>
        <w:rPr>
          <w:rFonts w:ascii="仿宋_GB2312" w:hAnsi="仿宋_GB2312" w:cs="仿宋_GB2312" w:hint="eastAsia"/>
          <w:sz w:val="32"/>
          <w:szCs w:val="32"/>
        </w:rPr>
        <w:t>份，对不合格成长档案、处方及时指正。</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做好儿童计划</w:t>
      </w:r>
      <w:r>
        <w:rPr>
          <w:rFonts w:ascii="仿宋_GB2312" w:hAnsi="仿宋_GB2312" w:cs="仿宋_GB2312" w:hint="eastAsia"/>
          <w:sz w:val="32"/>
          <w:szCs w:val="32"/>
        </w:rPr>
        <w:t>免疫的接种补种工作，目前共完成儿童各类免疫接种</w:t>
      </w:r>
      <w:r>
        <w:rPr>
          <w:rFonts w:ascii="仿宋_GB2312" w:hAnsi="仿宋_GB2312" w:cs="仿宋_GB2312" w:hint="eastAsia"/>
          <w:sz w:val="32"/>
          <w:szCs w:val="32"/>
        </w:rPr>
        <w:t>293</w:t>
      </w:r>
      <w:r>
        <w:rPr>
          <w:rFonts w:ascii="仿宋_GB2312" w:hAnsi="仿宋_GB2312" w:cs="仿宋_GB2312" w:hint="eastAsia"/>
          <w:sz w:val="32"/>
          <w:szCs w:val="32"/>
        </w:rPr>
        <w:t>人次，外出住院儿童</w:t>
      </w:r>
      <w:r>
        <w:rPr>
          <w:rFonts w:ascii="仿宋_GB2312" w:hAnsi="仿宋_GB2312" w:cs="仿宋_GB2312" w:hint="eastAsia"/>
          <w:sz w:val="32"/>
          <w:szCs w:val="32"/>
        </w:rPr>
        <w:t>126</w:t>
      </w:r>
      <w:r>
        <w:rPr>
          <w:rFonts w:ascii="仿宋_GB2312" w:hAnsi="仿宋_GB2312" w:cs="仿宋_GB2312" w:hint="eastAsia"/>
          <w:sz w:val="32"/>
          <w:szCs w:val="32"/>
        </w:rPr>
        <w:t>人次，检验室完成各类标本送检</w:t>
      </w:r>
      <w:r>
        <w:rPr>
          <w:rFonts w:ascii="仿宋_GB2312" w:hAnsi="仿宋_GB2312" w:cs="仿宋_GB2312" w:hint="eastAsia"/>
          <w:sz w:val="32"/>
          <w:szCs w:val="32"/>
        </w:rPr>
        <w:t>1094</w:t>
      </w:r>
      <w:r>
        <w:rPr>
          <w:rFonts w:ascii="仿宋_GB2312" w:hAnsi="仿宋_GB2312" w:cs="仿宋_GB2312" w:hint="eastAsia"/>
          <w:sz w:val="32"/>
          <w:szCs w:val="32"/>
        </w:rPr>
        <w:t>人次，规范运送医疗废物</w:t>
      </w:r>
      <w:r>
        <w:rPr>
          <w:rFonts w:ascii="仿宋_GB2312" w:hAnsi="仿宋_GB2312" w:cs="仿宋_GB2312" w:hint="eastAsia"/>
          <w:sz w:val="32"/>
          <w:szCs w:val="32"/>
        </w:rPr>
        <w:t>29</w:t>
      </w:r>
      <w:r>
        <w:rPr>
          <w:rFonts w:ascii="仿宋_GB2312" w:hAnsi="仿宋_GB2312" w:cs="仿宋_GB2312" w:hint="eastAsia"/>
          <w:sz w:val="32"/>
          <w:szCs w:val="32"/>
        </w:rPr>
        <w:t>次，</w:t>
      </w:r>
      <w:r>
        <w:rPr>
          <w:rFonts w:ascii="仿宋_GB2312" w:hAnsi="仿宋_GB2312" w:cs="仿宋_GB2312" w:hint="eastAsia"/>
          <w:sz w:val="32"/>
          <w:szCs w:val="32"/>
        </w:rPr>
        <w:t>712.66kg</w:t>
      </w:r>
      <w:r>
        <w:rPr>
          <w:rFonts w:ascii="仿宋_GB2312" w:hAnsi="仿宋_GB2312" w:cs="仿宋_GB2312" w:hint="eastAsia"/>
          <w:sz w:val="32"/>
          <w:szCs w:val="32"/>
        </w:rPr>
        <w:t>。</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保证采购药品、医疗用品公司的资质合格。根据儿童季节发病及年龄情况每月一次采购药品。严格落实医生每日查房制度，加强日常交接班管理。提升医护人员的观察能力，做到疾病早发现、早上报、早诊治。尽最大努力拓宽就医渠道，确保儿童“应医尽医”。</w:t>
      </w:r>
    </w:p>
    <w:p w:rsidR="00477804" w:rsidRDefault="001E2B88">
      <w:pPr>
        <w:spacing w:line="540" w:lineRule="exact"/>
        <w:ind w:firstLine="640"/>
      </w:pPr>
      <w:r>
        <w:rPr>
          <w:rFonts w:ascii="仿宋_GB2312" w:hAnsi="仿宋_GB2312" w:cs="仿宋_GB2312" w:hint="eastAsia"/>
          <w:sz w:val="32"/>
          <w:szCs w:val="32"/>
        </w:rPr>
        <w:t>2024</w:t>
      </w:r>
      <w:r>
        <w:rPr>
          <w:rFonts w:ascii="仿宋_GB2312" w:hAnsi="仿宋_GB2312" w:cs="仿宋_GB2312" w:hint="eastAsia"/>
          <w:sz w:val="32"/>
          <w:szCs w:val="32"/>
        </w:rPr>
        <w:t>年共完成治疗处置总数</w:t>
      </w:r>
      <w:r>
        <w:rPr>
          <w:rFonts w:ascii="仿宋_GB2312" w:hAnsi="仿宋_GB2312" w:cs="仿宋_GB2312" w:hint="eastAsia"/>
          <w:sz w:val="32"/>
          <w:szCs w:val="32"/>
        </w:rPr>
        <w:t>109084</w:t>
      </w:r>
      <w:r>
        <w:rPr>
          <w:rFonts w:ascii="仿宋_GB2312" w:hAnsi="仿宋_GB2312" w:cs="仿宋_GB2312" w:hint="eastAsia"/>
          <w:sz w:val="32"/>
          <w:szCs w:val="32"/>
        </w:rPr>
        <w:t>人次，共完成了抢救</w:t>
      </w:r>
      <w:r>
        <w:rPr>
          <w:rFonts w:ascii="仿宋_GB2312" w:hAnsi="仿宋_GB2312" w:cs="仿宋_GB2312" w:hint="eastAsia"/>
          <w:sz w:val="32"/>
          <w:szCs w:val="32"/>
        </w:rPr>
        <w:t>41</w:t>
      </w:r>
      <w:r>
        <w:rPr>
          <w:rFonts w:ascii="仿宋_GB2312" w:hAnsi="仿宋_GB2312" w:cs="仿宋_GB2312" w:hint="eastAsia"/>
          <w:sz w:val="32"/>
          <w:szCs w:val="32"/>
        </w:rPr>
        <w:t>人次，肌肉注射</w:t>
      </w:r>
      <w:r>
        <w:rPr>
          <w:rFonts w:ascii="仿宋_GB2312" w:hAnsi="仿宋_GB2312" w:cs="仿宋_GB2312" w:hint="eastAsia"/>
          <w:sz w:val="32"/>
          <w:szCs w:val="32"/>
        </w:rPr>
        <w:t>85</w:t>
      </w:r>
      <w:r>
        <w:rPr>
          <w:rFonts w:ascii="仿宋_GB2312" w:hAnsi="仿宋_GB2312" w:cs="仿宋_GB2312" w:hint="eastAsia"/>
          <w:sz w:val="32"/>
          <w:szCs w:val="32"/>
        </w:rPr>
        <w:t>人次，皮试</w:t>
      </w:r>
      <w:r>
        <w:rPr>
          <w:rFonts w:ascii="仿宋_GB2312" w:hAnsi="仿宋_GB2312" w:cs="仿宋_GB2312" w:hint="eastAsia"/>
          <w:sz w:val="32"/>
          <w:szCs w:val="32"/>
        </w:rPr>
        <w:t>6</w:t>
      </w:r>
      <w:r>
        <w:rPr>
          <w:rFonts w:ascii="仿宋_GB2312" w:hAnsi="仿宋_GB2312" w:cs="仿宋_GB2312" w:hint="eastAsia"/>
          <w:sz w:val="32"/>
          <w:szCs w:val="32"/>
        </w:rPr>
        <w:t>例，换药</w:t>
      </w:r>
      <w:r>
        <w:rPr>
          <w:rFonts w:ascii="仿宋_GB2312" w:hAnsi="仿宋_GB2312" w:cs="仿宋_GB2312" w:hint="eastAsia"/>
          <w:sz w:val="32"/>
          <w:szCs w:val="32"/>
        </w:rPr>
        <w:t>4</w:t>
      </w:r>
      <w:r>
        <w:rPr>
          <w:rFonts w:ascii="仿宋_GB2312" w:hAnsi="仿宋_GB2312" w:cs="仿宋_GB2312" w:hint="eastAsia"/>
          <w:sz w:val="32"/>
          <w:szCs w:val="32"/>
        </w:rPr>
        <w:t>人次，抽血</w:t>
      </w:r>
      <w:r>
        <w:rPr>
          <w:rFonts w:ascii="仿宋_GB2312" w:hAnsi="仿宋_GB2312" w:cs="仿宋_GB2312" w:hint="eastAsia"/>
          <w:sz w:val="32"/>
          <w:szCs w:val="32"/>
        </w:rPr>
        <w:t>49</w:t>
      </w:r>
      <w:r>
        <w:rPr>
          <w:rFonts w:ascii="仿宋_GB2312" w:hAnsi="仿宋_GB2312" w:cs="仿宋_GB2312" w:hint="eastAsia"/>
          <w:sz w:val="32"/>
          <w:szCs w:val="32"/>
        </w:rPr>
        <w:t>人</w:t>
      </w:r>
      <w:r>
        <w:rPr>
          <w:rFonts w:ascii="仿宋_GB2312" w:hAnsi="仿宋_GB2312" w:cs="仿宋_GB2312" w:hint="eastAsia"/>
          <w:sz w:val="32"/>
          <w:szCs w:val="32"/>
        </w:rPr>
        <w:t>次，摆药</w:t>
      </w:r>
      <w:r>
        <w:rPr>
          <w:rFonts w:ascii="仿宋_GB2312" w:hAnsi="仿宋_GB2312" w:cs="仿宋_GB2312" w:hint="eastAsia"/>
          <w:sz w:val="32"/>
          <w:szCs w:val="32"/>
        </w:rPr>
        <w:t>5469</w:t>
      </w:r>
      <w:r>
        <w:rPr>
          <w:rFonts w:ascii="仿宋_GB2312" w:hAnsi="仿宋_GB2312" w:cs="仿宋_GB2312" w:hint="eastAsia"/>
          <w:sz w:val="32"/>
          <w:szCs w:val="32"/>
        </w:rPr>
        <w:t>人次，吸痰</w:t>
      </w:r>
      <w:r>
        <w:rPr>
          <w:rFonts w:ascii="仿宋_GB2312" w:hAnsi="仿宋_GB2312" w:cs="仿宋_GB2312" w:hint="eastAsia"/>
          <w:sz w:val="32"/>
          <w:szCs w:val="32"/>
        </w:rPr>
        <w:t>142</w:t>
      </w:r>
      <w:r>
        <w:rPr>
          <w:rFonts w:ascii="仿宋_GB2312" w:hAnsi="仿宋_GB2312" w:cs="仿宋_GB2312" w:hint="eastAsia"/>
          <w:sz w:val="32"/>
          <w:szCs w:val="32"/>
        </w:rPr>
        <w:t>人次，雾化吸入</w:t>
      </w:r>
      <w:r>
        <w:rPr>
          <w:rFonts w:ascii="仿宋_GB2312" w:hAnsi="仿宋_GB2312" w:cs="仿宋_GB2312" w:hint="eastAsia"/>
          <w:sz w:val="32"/>
          <w:szCs w:val="32"/>
        </w:rPr>
        <w:t>20</w:t>
      </w:r>
      <w:r>
        <w:rPr>
          <w:rFonts w:ascii="仿宋_GB2312" w:hAnsi="仿宋_GB2312" w:cs="仿宋_GB2312" w:hint="eastAsia"/>
          <w:sz w:val="32"/>
          <w:szCs w:val="32"/>
        </w:rPr>
        <w:t>人次，静推</w:t>
      </w:r>
      <w:r>
        <w:rPr>
          <w:rFonts w:ascii="仿宋_GB2312" w:hAnsi="仿宋_GB2312" w:cs="仿宋_GB2312" w:hint="eastAsia"/>
          <w:sz w:val="32"/>
          <w:szCs w:val="32"/>
        </w:rPr>
        <w:t>32</w:t>
      </w:r>
      <w:r>
        <w:rPr>
          <w:rFonts w:ascii="仿宋_GB2312" w:hAnsi="仿宋_GB2312" w:cs="仿宋_GB2312" w:hint="eastAsia"/>
          <w:sz w:val="32"/>
          <w:szCs w:val="32"/>
        </w:rPr>
        <w:t>人次，灌肠</w:t>
      </w:r>
      <w:r>
        <w:rPr>
          <w:rFonts w:ascii="仿宋_GB2312" w:hAnsi="仿宋_GB2312" w:cs="仿宋_GB2312" w:hint="eastAsia"/>
          <w:sz w:val="32"/>
          <w:szCs w:val="32"/>
        </w:rPr>
        <w:t>63</w:t>
      </w:r>
      <w:r>
        <w:rPr>
          <w:rFonts w:ascii="仿宋_GB2312" w:hAnsi="仿宋_GB2312" w:cs="仿宋_GB2312" w:hint="eastAsia"/>
          <w:sz w:val="32"/>
          <w:szCs w:val="32"/>
        </w:rPr>
        <w:t>人次，胃管插入</w:t>
      </w:r>
      <w:r>
        <w:rPr>
          <w:rFonts w:ascii="仿宋_GB2312" w:hAnsi="仿宋_GB2312" w:cs="仿宋_GB2312" w:hint="eastAsia"/>
          <w:sz w:val="32"/>
          <w:szCs w:val="32"/>
        </w:rPr>
        <w:t>105</w:t>
      </w:r>
      <w:r>
        <w:rPr>
          <w:rFonts w:ascii="仿宋_GB2312" w:hAnsi="仿宋_GB2312" w:cs="仿宋_GB2312" w:hint="eastAsia"/>
          <w:sz w:val="32"/>
          <w:szCs w:val="32"/>
        </w:rPr>
        <w:t>人次，导尿</w:t>
      </w:r>
      <w:r>
        <w:rPr>
          <w:rFonts w:ascii="仿宋_GB2312" w:hAnsi="仿宋_GB2312" w:cs="仿宋_GB2312" w:hint="eastAsia"/>
          <w:sz w:val="32"/>
          <w:szCs w:val="32"/>
        </w:rPr>
        <w:t>14</w:t>
      </w:r>
      <w:r>
        <w:rPr>
          <w:rFonts w:ascii="仿宋_GB2312" w:hAnsi="仿宋_GB2312" w:cs="仿宋_GB2312" w:hint="eastAsia"/>
          <w:sz w:val="32"/>
          <w:szCs w:val="32"/>
        </w:rPr>
        <w:t>人次，口腔护理</w:t>
      </w:r>
      <w:r>
        <w:rPr>
          <w:rFonts w:ascii="仿宋_GB2312" w:hAnsi="仿宋_GB2312" w:cs="仿宋_GB2312" w:hint="eastAsia"/>
          <w:sz w:val="32"/>
          <w:szCs w:val="32"/>
        </w:rPr>
        <w:t>9957</w:t>
      </w:r>
      <w:r>
        <w:rPr>
          <w:rFonts w:ascii="仿宋_GB2312" w:hAnsi="仿宋_GB2312" w:cs="仿宋_GB2312" w:hint="eastAsia"/>
          <w:sz w:val="32"/>
          <w:szCs w:val="32"/>
        </w:rPr>
        <w:t>人次，鼻饲</w:t>
      </w:r>
      <w:r>
        <w:rPr>
          <w:rFonts w:ascii="仿宋_GB2312" w:hAnsi="仿宋_GB2312" w:cs="仿宋_GB2312" w:hint="eastAsia"/>
          <w:sz w:val="32"/>
          <w:szCs w:val="32"/>
        </w:rPr>
        <w:t>13730</w:t>
      </w:r>
      <w:r>
        <w:rPr>
          <w:rFonts w:ascii="仿宋_GB2312" w:hAnsi="仿宋_GB2312" w:cs="仿宋_GB2312" w:hint="eastAsia"/>
          <w:sz w:val="32"/>
          <w:szCs w:val="32"/>
        </w:rPr>
        <w:t>人次，更换尿袋</w:t>
      </w:r>
      <w:r>
        <w:rPr>
          <w:rFonts w:ascii="仿宋_GB2312" w:hAnsi="仿宋_GB2312" w:cs="仿宋_GB2312" w:hint="eastAsia"/>
          <w:sz w:val="32"/>
          <w:szCs w:val="32"/>
        </w:rPr>
        <w:t>250</w:t>
      </w:r>
      <w:r>
        <w:rPr>
          <w:rFonts w:ascii="仿宋_GB2312" w:hAnsi="仿宋_GB2312" w:cs="仿宋_GB2312" w:hint="eastAsia"/>
          <w:sz w:val="32"/>
          <w:szCs w:val="32"/>
        </w:rPr>
        <w:t>次，肢体被动运动</w:t>
      </w:r>
      <w:r>
        <w:rPr>
          <w:rFonts w:ascii="仿宋_GB2312" w:hAnsi="仿宋_GB2312" w:cs="仿宋_GB2312" w:hint="eastAsia"/>
          <w:sz w:val="32"/>
          <w:szCs w:val="32"/>
        </w:rPr>
        <w:t>73908</w:t>
      </w:r>
      <w:r>
        <w:rPr>
          <w:rFonts w:ascii="仿宋_GB2312" w:hAnsi="仿宋_GB2312" w:cs="仿宋_GB2312" w:hint="eastAsia"/>
          <w:sz w:val="32"/>
          <w:szCs w:val="32"/>
        </w:rPr>
        <w:t>次，保护器具使用</w:t>
      </w:r>
      <w:r>
        <w:rPr>
          <w:rFonts w:ascii="仿宋_GB2312" w:hAnsi="仿宋_GB2312" w:cs="仿宋_GB2312" w:hint="eastAsia"/>
          <w:sz w:val="32"/>
          <w:szCs w:val="32"/>
        </w:rPr>
        <w:t>5209</w:t>
      </w:r>
      <w:r>
        <w:rPr>
          <w:rFonts w:ascii="仿宋_GB2312" w:hAnsi="仿宋_GB2312" w:cs="仿宋_GB2312" w:hint="eastAsia"/>
          <w:sz w:val="32"/>
          <w:szCs w:val="32"/>
        </w:rPr>
        <w:t>次。通过上述工作对儿童常见病、多发病进行及时诊断和治疗，为儿童提供人性化医疗、保健和护理等服务。</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4</w:t>
      </w:r>
      <w:r>
        <w:rPr>
          <w:rFonts w:ascii="仿宋_GB2312" w:hAnsi="仿宋_GB2312" w:cs="仿宋_GB2312" w:hint="eastAsia"/>
          <w:sz w:val="32"/>
          <w:szCs w:val="32"/>
        </w:rPr>
        <w:t>）在康复训练方面</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市儿福秉承“健康、快乐、自强、感恩”的教育理念，根据孤残儿童的年龄、智力发育水平，制定个性化的康复</w:t>
      </w:r>
      <w:r>
        <w:rPr>
          <w:rFonts w:ascii="仿宋_GB2312" w:hAnsi="仿宋_GB2312" w:cs="仿宋_GB2312" w:hint="eastAsia"/>
          <w:sz w:val="32"/>
          <w:szCs w:val="32"/>
        </w:rPr>
        <w:lastRenderedPageBreak/>
        <w:t>方案。针对不同种类残疾儿童，根据儿童身体状况，对有适应症的儿童安排助残</w:t>
      </w:r>
      <w:r>
        <w:rPr>
          <w:rFonts w:ascii="仿宋_GB2312" w:hAnsi="仿宋_GB2312" w:cs="仿宋_GB2312" w:hint="eastAsia"/>
          <w:sz w:val="32"/>
          <w:szCs w:val="32"/>
        </w:rPr>
        <w:t>手术。按照残疾儿童不同的身体状况运用引导式教育、感觉统合训练、物理治疗、作业治疗、聋儿语训等方法进行康复训练。残疾儿童经过长期艰苦、系统、规范的训练，康复效果明显。</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2024</w:t>
      </w:r>
      <w:r>
        <w:rPr>
          <w:rFonts w:ascii="仿宋_GB2312" w:hAnsi="仿宋_GB2312" w:cs="仿宋_GB2312" w:hint="eastAsia"/>
          <w:sz w:val="32"/>
          <w:szCs w:val="32"/>
        </w:rPr>
        <w:t>年度增加儿童体检项目，在常规项目基础上增加微量元素、维生素</w:t>
      </w:r>
      <w:r>
        <w:rPr>
          <w:rFonts w:ascii="仿宋_GB2312" w:hAnsi="仿宋_GB2312" w:cs="仿宋_GB2312" w:hint="eastAsia"/>
          <w:sz w:val="32"/>
          <w:szCs w:val="32"/>
        </w:rPr>
        <w:t>14</w:t>
      </w:r>
      <w:r>
        <w:rPr>
          <w:rFonts w:ascii="仿宋_GB2312" w:hAnsi="仿宋_GB2312" w:cs="仿宋_GB2312" w:hint="eastAsia"/>
          <w:sz w:val="32"/>
          <w:szCs w:val="32"/>
        </w:rPr>
        <w:t>项等指标，从多个维度对儿童生长发育指标进行数据分析，年度内对儿童进行体检。联合火箭军医院开展在院儿童基因检测，筛查致病基因，开展精准诊疗。</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5</w:t>
      </w:r>
      <w:r>
        <w:rPr>
          <w:rFonts w:ascii="仿宋_GB2312" w:hAnsi="仿宋_GB2312" w:cs="仿宋_GB2312" w:hint="eastAsia"/>
          <w:sz w:val="32"/>
          <w:szCs w:val="32"/>
        </w:rPr>
        <w:t>）在特殊教育方面</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市儿福深化“教养融合”“学前和特教融合”的双融合发展理念，开展丰富的课程服务，针对不同组别儿童开设个性化教育服务，</w:t>
      </w:r>
      <w:r>
        <w:rPr>
          <w:rFonts w:ascii="仿宋_GB2312" w:hAnsi="仿宋_GB2312" w:cs="仿宋_GB2312" w:hint="eastAsia"/>
          <w:sz w:val="32"/>
          <w:szCs w:val="32"/>
        </w:rPr>
        <w:t>开设生活自理、认知、运动、种植等常规课程，满足不同儿童成长需求。</w:t>
      </w:r>
    </w:p>
    <w:p w:rsidR="00477804" w:rsidRDefault="001E2B88">
      <w:pPr>
        <w:spacing w:line="540" w:lineRule="exact"/>
        <w:ind w:firstLine="640"/>
        <w:rPr>
          <w:sz w:val="13"/>
          <w:szCs w:val="13"/>
        </w:rPr>
      </w:pPr>
      <w:r>
        <w:rPr>
          <w:rFonts w:ascii="仿宋_GB2312" w:hAnsi="仿宋_GB2312" w:cs="仿宋_GB2312" w:hint="eastAsia"/>
          <w:sz w:val="32"/>
          <w:szCs w:val="32"/>
        </w:rPr>
        <w:t>2024</w:t>
      </w:r>
      <w:r>
        <w:rPr>
          <w:rFonts w:ascii="仿宋_GB2312" w:hAnsi="仿宋_GB2312" w:cs="仿宋_GB2312" w:hint="eastAsia"/>
          <w:sz w:val="32"/>
          <w:szCs w:val="32"/>
        </w:rPr>
        <w:t>年度市儿福新安排</w:t>
      </w:r>
      <w:r>
        <w:rPr>
          <w:rFonts w:ascii="仿宋_GB2312" w:hAnsi="仿宋_GB2312" w:cs="仿宋_GB2312" w:hint="eastAsia"/>
          <w:sz w:val="32"/>
          <w:szCs w:val="32"/>
        </w:rPr>
        <w:t>1</w:t>
      </w:r>
      <w:r>
        <w:rPr>
          <w:rFonts w:ascii="仿宋_GB2312" w:hAnsi="仿宋_GB2312" w:cs="仿宋_GB2312" w:hint="eastAsia"/>
          <w:sz w:val="32"/>
          <w:szCs w:val="32"/>
        </w:rPr>
        <w:t>名儿童进入普通小学学习，目前共计</w:t>
      </w:r>
      <w:r>
        <w:rPr>
          <w:rFonts w:ascii="仿宋_GB2312" w:hAnsi="仿宋_GB2312" w:cs="仿宋_GB2312" w:hint="eastAsia"/>
          <w:sz w:val="32"/>
          <w:szCs w:val="32"/>
        </w:rPr>
        <w:t>6</w:t>
      </w:r>
      <w:r>
        <w:rPr>
          <w:rFonts w:ascii="仿宋_GB2312" w:hAnsi="仿宋_GB2312" w:cs="仿宋_GB2312" w:hint="eastAsia"/>
          <w:sz w:val="32"/>
          <w:szCs w:val="32"/>
        </w:rPr>
        <w:t>名上学儿童，完成入学、校服、就餐、接送等各项管理工作；积极组织符合条件的儿童参与社会实践活动，圆满完成六一儿童节庆祝联欢活动和义卖活动，本年度组织儿童</w:t>
      </w:r>
      <w:r>
        <w:rPr>
          <w:rFonts w:ascii="仿宋_GB2312" w:hAnsi="仿宋_GB2312" w:cs="仿宋_GB2312" w:hint="eastAsia"/>
          <w:sz w:val="32"/>
          <w:szCs w:val="32"/>
        </w:rPr>
        <w:t>5</w:t>
      </w:r>
      <w:r>
        <w:rPr>
          <w:rFonts w:ascii="仿宋_GB2312" w:hAnsi="仿宋_GB2312" w:cs="仿宋_GB2312" w:hint="eastAsia"/>
          <w:sz w:val="32"/>
          <w:szCs w:val="32"/>
        </w:rPr>
        <w:t>次外出购物、</w:t>
      </w:r>
      <w:r>
        <w:rPr>
          <w:rFonts w:ascii="仿宋_GB2312" w:hAnsi="仿宋_GB2312" w:cs="仿宋_GB2312" w:hint="eastAsia"/>
          <w:sz w:val="32"/>
          <w:szCs w:val="32"/>
        </w:rPr>
        <w:t>5</w:t>
      </w:r>
      <w:r>
        <w:rPr>
          <w:rFonts w:ascii="仿宋_GB2312" w:hAnsi="仿宋_GB2312" w:cs="仿宋_GB2312" w:hint="eastAsia"/>
          <w:sz w:val="32"/>
          <w:szCs w:val="32"/>
        </w:rPr>
        <w:t>次观看电影、参观宋庆龄青少年科技活动中心等，多种形式和方式的活动丰富儿童业余生活，提升社会实践和认知水平。</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6</w:t>
      </w:r>
      <w:r>
        <w:rPr>
          <w:rFonts w:ascii="仿宋_GB2312" w:hAnsi="仿宋_GB2312" w:cs="仿宋_GB2312" w:hint="eastAsia"/>
          <w:sz w:val="32"/>
          <w:szCs w:val="32"/>
        </w:rPr>
        <w:t>）在社工服务方面</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市儿福为提高孤残儿童心理素质、社会适应能力等为</w:t>
      </w:r>
      <w:r>
        <w:rPr>
          <w:rFonts w:ascii="仿宋_GB2312" w:hAnsi="仿宋_GB2312" w:cs="仿宋_GB2312" w:hint="eastAsia"/>
          <w:sz w:val="32"/>
          <w:szCs w:val="32"/>
        </w:rPr>
        <w:lastRenderedPageBreak/>
        <w:t>根本，对于失去父母孤残儿童存在的恐惧焦虑、自</w:t>
      </w:r>
      <w:r>
        <w:rPr>
          <w:rFonts w:ascii="仿宋_GB2312" w:hAnsi="仿宋_GB2312" w:cs="仿宋_GB2312" w:hint="eastAsia"/>
          <w:sz w:val="32"/>
          <w:szCs w:val="32"/>
        </w:rPr>
        <w:t>卑孤独、学习障碍、社会适应障碍等一系列心理行为、社交等问题，市儿福通过心理个案疏导、社工活动、感觉统合训练等多种方法开展社工心理辅导工作本年度持续推进“养社融合”，充分发挥社会工作在儿童服务保障中的专业作用，为情感陪伴需要和认知偏差问题的儿童开展个案辅导；开展匹配家庭儿童安置个案辅导；丰富儿童生活，为满足儿童户外活动和增长见识与知识的需求，开展了《春天寄语》“生龙活虎</w:t>
      </w:r>
      <w:r>
        <w:rPr>
          <w:rFonts w:ascii="仿宋_GB2312" w:hAnsi="仿宋_GB2312" w:cs="仿宋_GB2312" w:hint="eastAsia"/>
          <w:sz w:val="32"/>
          <w:szCs w:val="32"/>
        </w:rPr>
        <w:t xml:space="preserve"> </w:t>
      </w:r>
      <w:r>
        <w:rPr>
          <w:rFonts w:ascii="仿宋_GB2312" w:hAnsi="仿宋_GB2312" w:cs="仿宋_GB2312" w:hint="eastAsia"/>
          <w:sz w:val="32"/>
          <w:szCs w:val="32"/>
        </w:rPr>
        <w:t>迎春接福”“童心向党”等儿童主题活动共</w:t>
      </w:r>
      <w:r>
        <w:rPr>
          <w:rFonts w:ascii="仿宋_GB2312" w:hAnsi="仿宋_GB2312" w:cs="仿宋_GB2312" w:hint="eastAsia"/>
          <w:sz w:val="32"/>
          <w:szCs w:val="32"/>
        </w:rPr>
        <w:t>6</w:t>
      </w:r>
      <w:r>
        <w:rPr>
          <w:rFonts w:ascii="仿宋_GB2312" w:hAnsi="仿宋_GB2312" w:cs="仿宋_GB2312" w:hint="eastAsia"/>
          <w:sz w:val="32"/>
          <w:szCs w:val="32"/>
        </w:rPr>
        <w:t>次。不断强化社工业务培训，总结儿童心理评估工作经验，撰写《困境儿童心理健康关爱服务案例》</w:t>
      </w:r>
      <w:r>
        <w:rPr>
          <w:rFonts w:ascii="仿宋_GB2312" w:hAnsi="仿宋_GB2312" w:cs="仿宋_GB2312" w:hint="eastAsia"/>
          <w:sz w:val="32"/>
          <w:szCs w:val="32"/>
        </w:rPr>
        <w:t>5</w:t>
      </w:r>
      <w:r>
        <w:rPr>
          <w:rFonts w:ascii="仿宋_GB2312" w:hAnsi="仿宋_GB2312" w:cs="仿宋_GB2312" w:hint="eastAsia"/>
          <w:sz w:val="32"/>
          <w:szCs w:val="32"/>
        </w:rPr>
        <w:t>篇，为民政</w:t>
      </w:r>
      <w:r>
        <w:rPr>
          <w:rFonts w:ascii="仿宋_GB2312" w:hAnsi="仿宋_GB2312" w:cs="仿宋_GB2312" w:hint="eastAsia"/>
          <w:sz w:val="32"/>
          <w:szCs w:val="32"/>
        </w:rPr>
        <w:t>局征集困境儿童心理健康关爱服务工作创新案例提供素材。</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w:t>
      </w:r>
      <w:r>
        <w:rPr>
          <w:rFonts w:ascii="仿宋_GB2312" w:hAnsi="仿宋_GB2312" w:cs="仿宋_GB2312" w:hint="eastAsia"/>
          <w:sz w:val="32"/>
          <w:szCs w:val="32"/>
        </w:rPr>
        <w:t>7</w:t>
      </w:r>
      <w:r>
        <w:rPr>
          <w:rFonts w:ascii="仿宋_GB2312" w:hAnsi="仿宋_GB2312" w:cs="仿宋_GB2312" w:hint="eastAsia"/>
          <w:sz w:val="32"/>
          <w:szCs w:val="32"/>
        </w:rPr>
        <w:t>）在社会化安置方面</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市儿福严格贯彻落实《市属福利机构业务工作管理制度》规定，稳妥有序推进大龄儿童中心系统内部流转工作，</w:t>
      </w:r>
      <w:r>
        <w:rPr>
          <w:rFonts w:ascii="仿宋_GB2312" w:hAnsi="仿宋_GB2312" w:cs="仿宋_GB2312" w:hint="eastAsia"/>
          <w:sz w:val="32"/>
          <w:szCs w:val="32"/>
        </w:rPr>
        <w:t>2024</w:t>
      </w:r>
      <w:r>
        <w:rPr>
          <w:rFonts w:ascii="仿宋_GB2312" w:hAnsi="仿宋_GB2312" w:cs="仿宋_GB2312" w:hint="eastAsia"/>
          <w:sz w:val="32"/>
          <w:szCs w:val="32"/>
        </w:rPr>
        <w:t>年度安全顺利完成</w:t>
      </w:r>
      <w:r>
        <w:rPr>
          <w:rFonts w:ascii="仿宋_GB2312" w:hAnsi="仿宋_GB2312" w:cs="仿宋_GB2312" w:hint="eastAsia"/>
          <w:sz w:val="32"/>
          <w:szCs w:val="32"/>
        </w:rPr>
        <w:t>5</w:t>
      </w:r>
      <w:r>
        <w:rPr>
          <w:rFonts w:ascii="仿宋_GB2312" w:hAnsi="仿宋_GB2312" w:cs="仿宋_GB2312" w:hint="eastAsia"/>
          <w:sz w:val="32"/>
          <w:szCs w:val="32"/>
        </w:rPr>
        <w:t>名大龄儿童流转至市第二福利院工作。持续提升社会化安置服务水平，让更多的孩子回归社会、回归家庭，享受家庭带来的温暖；</w:t>
      </w:r>
      <w:r>
        <w:rPr>
          <w:rFonts w:ascii="仿宋_GB2312" w:hAnsi="仿宋_GB2312" w:cs="仿宋_GB2312" w:hint="eastAsia"/>
          <w:sz w:val="32"/>
          <w:szCs w:val="32"/>
        </w:rPr>
        <w:t>2024</w:t>
      </w:r>
      <w:r>
        <w:rPr>
          <w:rFonts w:ascii="仿宋_GB2312" w:hAnsi="仿宋_GB2312" w:cs="仿宋_GB2312" w:hint="eastAsia"/>
          <w:sz w:val="32"/>
          <w:szCs w:val="32"/>
        </w:rPr>
        <w:t>年度有一名儿童已成功匹配，完成家庭融合收养手续。</w:t>
      </w:r>
      <w:r>
        <w:rPr>
          <w:rFonts w:ascii="仿宋_GB2312" w:hAnsi="仿宋_GB2312" w:cs="仿宋_GB2312" w:hint="eastAsia"/>
          <w:sz w:val="32"/>
          <w:szCs w:val="32"/>
        </w:rPr>
        <w:t>2024</w:t>
      </w:r>
      <w:r>
        <w:rPr>
          <w:rFonts w:ascii="仿宋_GB2312" w:hAnsi="仿宋_GB2312" w:cs="仿宋_GB2312" w:hint="eastAsia"/>
          <w:sz w:val="32"/>
          <w:szCs w:val="32"/>
        </w:rPr>
        <w:t>年共办理完成</w:t>
      </w:r>
      <w:r>
        <w:rPr>
          <w:rFonts w:ascii="仿宋_GB2312" w:hAnsi="仿宋_GB2312" w:cs="仿宋_GB2312" w:hint="eastAsia"/>
          <w:sz w:val="32"/>
          <w:szCs w:val="32"/>
        </w:rPr>
        <w:t>3</w:t>
      </w:r>
      <w:r>
        <w:rPr>
          <w:rFonts w:ascii="仿宋_GB2312" w:hAnsi="仿宋_GB2312" w:cs="仿宋_GB2312" w:hint="eastAsia"/>
          <w:sz w:val="32"/>
          <w:szCs w:val="32"/>
        </w:rPr>
        <w:t>名儿童户口迁移，接听收养咨询电话千余通。</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此外，</w:t>
      </w:r>
      <w:r>
        <w:rPr>
          <w:rFonts w:ascii="仿宋_GB2312" w:hAnsi="仿宋_GB2312" w:cs="仿宋_GB2312" w:hint="eastAsia"/>
          <w:sz w:val="32"/>
          <w:szCs w:val="32"/>
        </w:rPr>
        <w:t>2024</w:t>
      </w:r>
      <w:r>
        <w:rPr>
          <w:rFonts w:ascii="仿宋_GB2312" w:hAnsi="仿宋_GB2312" w:cs="仿宋_GB2312" w:hint="eastAsia"/>
          <w:sz w:val="32"/>
          <w:szCs w:val="32"/>
        </w:rPr>
        <w:t>年市儿福举办了全院孤残儿童护理员职业技能比武活动，全年组织各类</w:t>
      </w:r>
      <w:r>
        <w:rPr>
          <w:rFonts w:ascii="仿宋_GB2312" w:hAnsi="仿宋_GB2312" w:cs="仿宋_GB2312" w:hint="eastAsia"/>
          <w:sz w:val="32"/>
          <w:szCs w:val="32"/>
        </w:rPr>
        <w:t>专业护理培训，提升孤残儿童护理服务质量和水平；已建成服务类标准</w:t>
      </w:r>
      <w:r>
        <w:rPr>
          <w:rFonts w:ascii="仿宋_GB2312" w:hAnsi="仿宋_GB2312" w:cs="仿宋_GB2312" w:hint="eastAsia"/>
          <w:sz w:val="32"/>
          <w:szCs w:val="32"/>
        </w:rPr>
        <w:t>197</w:t>
      </w:r>
      <w:r>
        <w:rPr>
          <w:rFonts w:ascii="仿宋_GB2312" w:hAnsi="仿宋_GB2312" w:cs="仿宋_GB2312" w:hint="eastAsia"/>
          <w:sz w:val="32"/>
          <w:szCs w:val="32"/>
        </w:rPr>
        <w:t>个，涵盖儿童护理、医疗、教育等多个领域；</w:t>
      </w:r>
      <w:r>
        <w:rPr>
          <w:rFonts w:ascii="仿宋_GB2312" w:hAnsi="仿宋_GB2312" w:cs="仿宋_GB2312" w:hint="eastAsia"/>
          <w:sz w:val="32"/>
          <w:szCs w:val="32"/>
        </w:rPr>
        <w:t>2024</w:t>
      </w:r>
      <w:r>
        <w:rPr>
          <w:rFonts w:ascii="仿宋_GB2312" w:hAnsi="仿宋_GB2312" w:cs="仿宋_GB2312" w:hint="eastAsia"/>
          <w:sz w:val="32"/>
          <w:szCs w:val="32"/>
        </w:rPr>
        <w:t>年通过标准化体</w:t>
      </w:r>
      <w:r>
        <w:rPr>
          <w:rFonts w:ascii="仿宋_GB2312" w:hAnsi="仿宋_GB2312" w:cs="仿宋_GB2312" w:hint="eastAsia"/>
          <w:sz w:val="32"/>
          <w:szCs w:val="32"/>
        </w:rPr>
        <w:lastRenderedPageBreak/>
        <w:t>系复审，完成《儿童福利机构常见病患儿养护技术规范》地标修订。</w:t>
      </w:r>
    </w:p>
    <w:p w:rsidR="00477804" w:rsidRDefault="001E2B88">
      <w:pPr>
        <w:spacing w:line="540" w:lineRule="exact"/>
        <w:ind w:firstLine="640"/>
        <w:rPr>
          <w:rFonts w:ascii="仿宋_GB2312" w:hAnsi="仿宋_GB2312" w:cs="仿宋_GB2312"/>
          <w:kern w:val="0"/>
          <w:sz w:val="32"/>
          <w:szCs w:val="32"/>
          <w:highlight w:val="yellow"/>
        </w:rPr>
      </w:pPr>
      <w:r>
        <w:rPr>
          <w:rFonts w:ascii="仿宋_GB2312" w:hAnsi="仿宋_GB2312" w:cs="仿宋_GB2312" w:hint="eastAsia"/>
          <w:sz w:val="32"/>
          <w:szCs w:val="32"/>
        </w:rPr>
        <w:t>项目各项产出均达到预期绩效目标要求。</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（四）项目效益情况</w:t>
      </w:r>
    </w:p>
    <w:p w:rsidR="00477804" w:rsidRDefault="001E2B88">
      <w:pPr>
        <w:spacing w:line="540" w:lineRule="exact"/>
        <w:ind w:firstLine="640"/>
        <w:rPr>
          <w:rFonts w:ascii="仿宋_GB2312" w:hAnsi="仿宋_GB2312" w:cs="仿宋_GB2312"/>
          <w:sz w:val="32"/>
          <w:szCs w:val="32"/>
        </w:rPr>
      </w:pPr>
      <w:r>
        <w:rPr>
          <w:rFonts w:ascii="仿宋_GB2312" w:hAnsi="仿宋_GB2312" w:cs="仿宋_GB2312" w:hint="eastAsia"/>
          <w:sz w:val="32"/>
          <w:szCs w:val="32"/>
        </w:rPr>
        <w:t>该项目的实施，有效确保在院困境儿童的生命安全，保障儿童生活的基本需求，改善了患病儿童的生存质量、提升了生活自理能力，改善了生活状态，保障了困境儿童的生存权、发展权、受保护权、参与权等权利。为困境儿童最终回归社会打下良好基础，有效实现了维护社会稳定、减轻社会压力的</w:t>
      </w:r>
      <w:r>
        <w:rPr>
          <w:rFonts w:ascii="仿宋_GB2312" w:hAnsi="仿宋_GB2312" w:cs="仿宋_GB2312" w:hint="eastAsia"/>
          <w:sz w:val="32"/>
          <w:szCs w:val="32"/>
        </w:rPr>
        <w:t>社会效益。</w:t>
      </w:r>
    </w:p>
    <w:p w:rsidR="00477804" w:rsidRDefault="001E2B88">
      <w:pPr>
        <w:ind w:firstLine="640"/>
        <w:rPr>
          <w:rFonts w:ascii="仿宋_GB2312" w:hAnsi="仿宋_GB2312" w:cs="仿宋_GB2312"/>
          <w:kern w:val="0"/>
          <w:sz w:val="32"/>
          <w:szCs w:val="32"/>
          <w:highlight w:val="yellow"/>
        </w:rPr>
      </w:pPr>
      <w:r>
        <w:rPr>
          <w:rFonts w:ascii="仿宋_GB2312" w:hAnsi="仿宋_GB2312" w:cs="仿宋_GB2312" w:hint="eastAsia"/>
          <w:sz w:val="32"/>
          <w:szCs w:val="32"/>
        </w:rPr>
        <w:t>2024</w:t>
      </w:r>
      <w:r>
        <w:rPr>
          <w:rFonts w:ascii="仿宋_GB2312" w:hAnsi="仿宋_GB2312" w:cs="仿宋_GB2312" w:hint="eastAsia"/>
          <w:sz w:val="32"/>
          <w:szCs w:val="32"/>
        </w:rPr>
        <w:t>年市儿福落实《市属福利机构业务工作管理制度》规定，稳妥有序推进大龄儿童中心系统内部流转工作，年初安全顺利完成</w:t>
      </w:r>
      <w:r>
        <w:rPr>
          <w:rFonts w:ascii="仿宋_GB2312" w:hAnsi="仿宋_GB2312" w:cs="仿宋_GB2312" w:hint="eastAsia"/>
          <w:sz w:val="32"/>
          <w:szCs w:val="32"/>
        </w:rPr>
        <w:t>5</w:t>
      </w:r>
      <w:r>
        <w:rPr>
          <w:rFonts w:ascii="仿宋_GB2312" w:hAnsi="仿宋_GB2312" w:cs="仿宋_GB2312" w:hint="eastAsia"/>
          <w:sz w:val="32"/>
          <w:szCs w:val="32"/>
        </w:rPr>
        <w:t>名大龄儿童流转至市第二儿童福利院的工作。全年及时更新北京市儿童收养信息系统中待收养儿童信息，为积极推动儿童回归家庭创造条件。</w:t>
      </w:r>
      <w:r>
        <w:rPr>
          <w:rFonts w:ascii="仿宋_GB2312" w:hAnsi="仿宋_GB2312" w:cs="仿宋_GB2312" w:hint="eastAsia"/>
          <w:sz w:val="32"/>
          <w:szCs w:val="32"/>
        </w:rPr>
        <w:t>2024</w:t>
      </w:r>
      <w:r>
        <w:rPr>
          <w:rFonts w:ascii="仿宋_GB2312" w:hAnsi="仿宋_GB2312" w:cs="仿宋_GB2312" w:hint="eastAsia"/>
          <w:sz w:val="32"/>
          <w:szCs w:val="32"/>
        </w:rPr>
        <w:t>年共办理完成</w:t>
      </w:r>
      <w:r>
        <w:rPr>
          <w:rFonts w:ascii="仿宋_GB2312" w:hAnsi="仿宋_GB2312" w:cs="仿宋_GB2312" w:hint="eastAsia"/>
          <w:sz w:val="32"/>
          <w:szCs w:val="32"/>
        </w:rPr>
        <w:t>3</w:t>
      </w:r>
      <w:r>
        <w:rPr>
          <w:rFonts w:ascii="仿宋_GB2312" w:hAnsi="仿宋_GB2312" w:cs="仿宋_GB2312" w:hint="eastAsia"/>
          <w:sz w:val="32"/>
          <w:szCs w:val="32"/>
        </w:rPr>
        <w:t>名儿童户口迁移，并完成</w:t>
      </w:r>
      <w:r>
        <w:rPr>
          <w:rFonts w:ascii="仿宋_GB2312" w:hAnsi="仿宋_GB2312" w:cs="仿宋_GB2312" w:hint="eastAsia"/>
          <w:sz w:val="32"/>
          <w:szCs w:val="32"/>
        </w:rPr>
        <w:t>1</w:t>
      </w:r>
      <w:r>
        <w:rPr>
          <w:rFonts w:ascii="仿宋_GB2312" w:hAnsi="仿宋_GB2312" w:cs="仿宋_GB2312" w:hint="eastAsia"/>
          <w:sz w:val="32"/>
          <w:szCs w:val="32"/>
        </w:rPr>
        <w:t>名儿童成功匹配完成家庭融合收养手续。</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项目在提升政府部门影响力，树立政府在群众中的良好公众形象作用明显，但项目单位对项目实施后绩效的总结、分析，实施效果的绩效成果收集、反馈工作略显不足。</w:t>
      </w:r>
    </w:p>
    <w:p w:rsidR="00477804" w:rsidRDefault="001E2B88">
      <w:pPr>
        <w:adjustRightInd w:val="0"/>
        <w:snapToGrid w:val="0"/>
        <w:spacing w:beforeLines="50" w:before="190" w:afterLines="50" w:after="190" w:line="540" w:lineRule="exact"/>
        <w:ind w:firstLine="640"/>
        <w:outlineLvl w:val="0"/>
        <w:rPr>
          <w:rFonts w:ascii="黑体" w:eastAsia="黑体" w:hAnsi="黑体" w:cs="黑体"/>
          <w:sz w:val="32"/>
          <w:szCs w:val="32"/>
        </w:rPr>
      </w:pPr>
      <w:bookmarkStart w:id="24" w:name="_Toc26337"/>
      <w:bookmarkStart w:id="25" w:name="_Toc482788969"/>
      <w:bookmarkStart w:id="26" w:name="_Toc70879789"/>
      <w:r>
        <w:rPr>
          <w:rFonts w:ascii="黑体" w:eastAsia="黑体" w:hAnsi="黑体" w:cs="黑体" w:hint="eastAsia"/>
          <w:sz w:val="32"/>
          <w:szCs w:val="32"/>
        </w:rPr>
        <w:t>五、主要经验及做法、存在</w:t>
      </w:r>
      <w:r>
        <w:rPr>
          <w:rFonts w:ascii="黑体" w:eastAsia="黑体" w:hAnsi="黑体" w:cs="黑体" w:hint="eastAsia"/>
          <w:sz w:val="32"/>
          <w:szCs w:val="32"/>
        </w:rPr>
        <w:t>的问题及原因分析</w:t>
      </w:r>
      <w:bookmarkEnd w:id="24"/>
      <w:bookmarkEnd w:id="25"/>
      <w:bookmarkEnd w:id="26"/>
    </w:p>
    <w:p w:rsidR="00477804" w:rsidRDefault="001E2B88">
      <w:pPr>
        <w:ind w:firstLine="640"/>
        <w:rPr>
          <w:rFonts w:ascii="仿宋_GB2312" w:hAnsi="仿宋_GB2312" w:cs="仿宋_GB2312"/>
          <w:sz w:val="32"/>
          <w:szCs w:val="32"/>
        </w:rPr>
      </w:pPr>
      <w:bookmarkStart w:id="27" w:name="_Toc70879790"/>
      <w:r>
        <w:rPr>
          <w:rFonts w:ascii="仿宋_GB2312" w:hAnsi="仿宋_GB2312" w:cs="仿宋_GB2312" w:hint="eastAsia"/>
          <w:sz w:val="32"/>
          <w:szCs w:val="32"/>
        </w:rPr>
        <w:t>（一）主要经验</w:t>
      </w:r>
      <w:bookmarkEnd w:id="27"/>
    </w:p>
    <w:p w:rsidR="00477804" w:rsidRDefault="001E2B88">
      <w:pPr>
        <w:ind w:firstLine="640"/>
        <w:rPr>
          <w:rFonts w:ascii="仿宋_GB2312" w:hAnsi="仿宋_GB2312" w:cs="仿宋_GB2312"/>
          <w:sz w:val="32"/>
          <w:szCs w:val="32"/>
        </w:rPr>
      </w:pPr>
      <w:bookmarkStart w:id="28" w:name="_Toc70879791"/>
      <w:r>
        <w:rPr>
          <w:rFonts w:ascii="仿宋_GB2312" w:hAnsi="仿宋_GB2312" w:cs="仿宋_GB2312" w:hint="eastAsia"/>
          <w:sz w:val="32"/>
          <w:szCs w:val="32"/>
        </w:rPr>
        <w:t>一是结合困境儿童实际状况调整服务重点和资金使用结构。随着经济的发展和医疗条件的改善以及其他区县儿童福利院的建设，市儿福内存量儿童基本为不具备送养条</w:t>
      </w:r>
      <w:r>
        <w:rPr>
          <w:rFonts w:ascii="仿宋_GB2312" w:hAnsi="仿宋_GB2312" w:cs="仿宋_GB2312" w:hint="eastAsia"/>
          <w:sz w:val="32"/>
          <w:szCs w:val="32"/>
        </w:rPr>
        <w:lastRenderedPageBreak/>
        <w:t>件的中、重度复合型残疾儿童，身体状况普遍较差，并伴有多重残疾，主要以脑瘫、癫痫、精神发育迟滞、先天愚型、苯丙酮尿症等疾病为主，长期卧床儿童居多，大部分儿童进餐、咀嚼、吞咽功能差，绝大部分对饮食营养没有主动的需求，营养不吸收及儿童残疾和自身等多方面因素造成儿童营养不良、抵抗力低，患病风险高。随着年龄增长，这种现象愈发严重。针对这种变化，市儿福对服务内容和资金使用结构</w:t>
      </w:r>
      <w:r>
        <w:rPr>
          <w:rFonts w:ascii="仿宋_GB2312" w:hAnsi="仿宋_GB2312" w:cs="仿宋_GB2312" w:hint="eastAsia"/>
          <w:sz w:val="32"/>
          <w:szCs w:val="32"/>
        </w:rPr>
        <w:t>在</w:t>
      </w:r>
      <w:r>
        <w:rPr>
          <w:rFonts w:ascii="仿宋_GB2312" w:hAnsi="仿宋_GB2312" w:cs="仿宋_GB2312" w:hint="eastAsia"/>
          <w:sz w:val="32"/>
          <w:szCs w:val="32"/>
        </w:rPr>
        <w:t>2024</w:t>
      </w:r>
      <w:r>
        <w:rPr>
          <w:rFonts w:ascii="仿宋_GB2312" w:hAnsi="仿宋_GB2312" w:cs="仿宋_GB2312" w:hint="eastAsia"/>
          <w:sz w:val="32"/>
          <w:szCs w:val="32"/>
        </w:rPr>
        <w:t>年进行了积极调整。</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在政府供养保障对象生活费的资金使用结构上，调整增加营养伙食费标准至</w:t>
      </w:r>
      <w:r>
        <w:rPr>
          <w:rFonts w:ascii="仿宋_GB2312" w:hAnsi="仿宋_GB2312" w:cs="仿宋_GB2312" w:hint="eastAsia"/>
          <w:sz w:val="32"/>
          <w:szCs w:val="32"/>
        </w:rPr>
        <w:t>950</w:t>
      </w:r>
      <w:r>
        <w:rPr>
          <w:rFonts w:ascii="仿宋_GB2312" w:hAnsi="仿宋_GB2312" w:cs="仿宋_GB2312" w:hint="eastAsia"/>
          <w:sz w:val="32"/>
          <w:szCs w:val="32"/>
        </w:rPr>
        <w:t>元。通过专业围绕特殊疾病儿童营养膳食结构分析及保障模式，在营养筛查、营养评定、营养干预和营养监测四方面，形成孤残儿童喂养流程专业化、营养配餐科学化体系，进而提高孤残儿童免疫力，减少疾病发生，降低住院率，为今后全国范围内孤残儿童营养改善和干预工作推广做积极探索。</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二是加强对困境儿童管理信息化建设。随着市儿福业务信息化系统一期和雪亮工程完成并投入使用，业务信息化系统提升了对儿童信息、成长档案、各项服务资料的收集</w:t>
      </w:r>
      <w:r>
        <w:rPr>
          <w:rFonts w:ascii="仿宋_GB2312" w:hAnsi="仿宋_GB2312" w:cs="仿宋_GB2312" w:hint="eastAsia"/>
          <w:sz w:val="32"/>
          <w:szCs w:val="32"/>
        </w:rPr>
        <w:t>效率；形成了从院领导到医生、护士、其他相关工作人员的多级儿童管理体系，完成了儿童入院、养护、诊疗等的全流程管理，建立了全院儿童动态数据库，实现了电子化办公。雪亮工程通过在儿童生活区域包括楼道、食堂等公共区域、观察室及婴幼儿居室等特殊区域安装具有存储功能的视频监控系统，实现了对院内儿童养护区各居室内全覆盖、无死角、数字化的摄像监控。通过该系统的高效运行排除了养护区安全隐患，全面夯实院内安全工作基础，</w:t>
      </w:r>
      <w:r>
        <w:rPr>
          <w:rFonts w:ascii="仿宋_GB2312" w:hAnsi="仿宋_GB2312" w:cs="仿宋_GB2312" w:hint="eastAsia"/>
          <w:sz w:val="32"/>
          <w:szCs w:val="32"/>
        </w:rPr>
        <w:lastRenderedPageBreak/>
        <w:t>提升了整个院区内安全整体水平。</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三是加强制度修订，加快运行管理精准化发展。建立健全“四清单一流程”，实行上墙管理</w:t>
      </w:r>
      <w:r>
        <w:rPr>
          <w:rFonts w:ascii="仿宋_GB2312" w:hAnsi="仿宋_GB2312" w:cs="仿宋_GB2312" w:hint="eastAsia"/>
          <w:sz w:val="32"/>
          <w:szCs w:val="32"/>
        </w:rPr>
        <w:t>、挂图作战，并根据实际动态更新调整。修订院应急预案汇编，制修订规章制度</w:t>
      </w:r>
      <w:r>
        <w:rPr>
          <w:rFonts w:ascii="仿宋_GB2312" w:hAnsi="仿宋_GB2312" w:cs="仿宋_GB2312" w:hint="eastAsia"/>
          <w:sz w:val="32"/>
          <w:szCs w:val="32"/>
        </w:rPr>
        <w:t>120</w:t>
      </w:r>
      <w:r>
        <w:rPr>
          <w:rFonts w:ascii="仿宋_GB2312" w:hAnsi="仿宋_GB2312" w:cs="仿宋_GB2312" w:hint="eastAsia"/>
          <w:sz w:val="32"/>
          <w:szCs w:val="32"/>
        </w:rPr>
        <w:t>个，助推各项业务工作及事务管理更加规范化、制度化和程序化。</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2024</w:t>
      </w:r>
      <w:r>
        <w:rPr>
          <w:rFonts w:ascii="仿宋_GB2312" w:hAnsi="仿宋_GB2312" w:cs="仿宋_GB2312" w:hint="eastAsia"/>
          <w:sz w:val="32"/>
          <w:szCs w:val="32"/>
        </w:rPr>
        <w:t>年度有效完成年度业务档案电子化阶段性任务，约</w:t>
      </w:r>
      <w:r>
        <w:rPr>
          <w:rFonts w:ascii="仿宋_GB2312" w:hAnsi="仿宋_GB2312" w:cs="仿宋_GB2312" w:hint="eastAsia"/>
          <w:sz w:val="32"/>
          <w:szCs w:val="32"/>
        </w:rPr>
        <w:t>1400</w:t>
      </w:r>
      <w:r>
        <w:rPr>
          <w:rFonts w:ascii="仿宋_GB2312" w:hAnsi="仿宋_GB2312" w:cs="仿宋_GB2312" w:hint="eastAsia"/>
          <w:sz w:val="32"/>
          <w:szCs w:val="32"/>
        </w:rPr>
        <w:t>份儿童档案进行数字化加工整理、著录、扫描，完善了档案的规范化管理。修订发布地标《儿童福利院机构常见病患儿养护技术规范》，高分通过标准体系复审。通过文本修订、印发执行、学习宣贯等，全院各领域、各环节以制度规范管理的成效显著提升，促进了儿童福利机构优化提质和高质量发展。</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四是强化绩效意识，持续发挥好首都儿童福利事业的窗口作用。作为北京市民政部门的窗口单位，市儿福</w:t>
      </w:r>
      <w:r>
        <w:rPr>
          <w:rFonts w:ascii="仿宋_GB2312" w:hAnsi="仿宋_GB2312" w:cs="仿宋_GB2312" w:hint="eastAsia"/>
          <w:sz w:val="32"/>
          <w:szCs w:val="32"/>
        </w:rPr>
        <w:t>2024</w:t>
      </w:r>
      <w:r>
        <w:rPr>
          <w:rFonts w:ascii="仿宋_GB2312" w:hAnsi="仿宋_GB2312" w:cs="仿宋_GB2312" w:hint="eastAsia"/>
          <w:sz w:val="32"/>
          <w:szCs w:val="32"/>
        </w:rPr>
        <w:t>年综合运用多种宣传方式，积极对接北京社区报等新闻媒体平台，充分发挥主题简报、信息快报、电子院报等阵地作用，全方位加大对儿福新经验新做法的宣传，对接完成石景山区孤残儿童代养任务，与</w:t>
      </w:r>
      <w:r>
        <w:rPr>
          <w:rFonts w:ascii="仿宋_GB2312" w:hAnsi="仿宋_GB2312" w:cs="仿宋_GB2312" w:hint="eastAsia"/>
          <w:sz w:val="32"/>
          <w:szCs w:val="32"/>
        </w:rPr>
        <w:t>6</w:t>
      </w:r>
      <w:r>
        <w:rPr>
          <w:rFonts w:ascii="仿宋_GB2312" w:hAnsi="仿宋_GB2312" w:cs="仿宋_GB2312" w:hint="eastAsia"/>
          <w:sz w:val="32"/>
          <w:szCs w:val="32"/>
        </w:rPr>
        <w:t>所区属儿童福利机构结对帮扶，派专业技术人员赴内蒙、山东等地儿童福利院提供技术帮扶，协同承办全国儿童福利院院长培训班。接待领导调研活动</w:t>
      </w:r>
      <w:r>
        <w:rPr>
          <w:rFonts w:ascii="仿宋_GB2312" w:hAnsi="仿宋_GB2312" w:cs="仿宋_GB2312" w:hint="eastAsia"/>
          <w:sz w:val="32"/>
          <w:szCs w:val="32"/>
        </w:rPr>
        <w:t>10</w:t>
      </w:r>
      <w:r>
        <w:rPr>
          <w:rFonts w:ascii="仿宋_GB2312" w:hAnsi="仿宋_GB2312" w:cs="仿宋_GB2312" w:hint="eastAsia"/>
          <w:sz w:val="32"/>
          <w:szCs w:val="32"/>
        </w:rPr>
        <w:t>余次和各类现场见学、党建联建、外事参访等</w:t>
      </w:r>
      <w:r>
        <w:rPr>
          <w:rFonts w:ascii="仿宋_GB2312" w:hAnsi="仿宋_GB2312" w:cs="仿宋_GB2312" w:hint="eastAsia"/>
          <w:sz w:val="32"/>
          <w:szCs w:val="32"/>
        </w:rPr>
        <w:t>40</w:t>
      </w:r>
      <w:r>
        <w:rPr>
          <w:rFonts w:ascii="仿宋_GB2312" w:hAnsi="仿宋_GB2312" w:cs="仿宋_GB2312" w:hint="eastAsia"/>
          <w:sz w:val="32"/>
          <w:szCs w:val="32"/>
        </w:rPr>
        <w:t>批次、</w:t>
      </w:r>
      <w:r>
        <w:rPr>
          <w:rFonts w:ascii="仿宋_GB2312" w:hAnsi="仿宋_GB2312" w:cs="仿宋_GB2312" w:hint="eastAsia"/>
          <w:sz w:val="32"/>
          <w:szCs w:val="32"/>
        </w:rPr>
        <w:t>900</w:t>
      </w:r>
      <w:r>
        <w:rPr>
          <w:rFonts w:ascii="仿宋_GB2312" w:hAnsi="仿宋_GB2312" w:cs="仿宋_GB2312" w:hint="eastAsia"/>
          <w:sz w:val="32"/>
          <w:szCs w:val="32"/>
        </w:rPr>
        <w:t>人次。</w:t>
      </w:r>
      <w:r>
        <w:rPr>
          <w:rFonts w:ascii="仿宋_GB2312" w:hAnsi="仿宋_GB2312" w:cs="仿宋_GB2312" w:hint="eastAsia"/>
          <w:sz w:val="32"/>
          <w:szCs w:val="32"/>
        </w:rPr>
        <w:t>2024</w:t>
      </w:r>
      <w:r>
        <w:rPr>
          <w:rFonts w:ascii="仿宋_GB2312" w:hAnsi="仿宋_GB2312" w:cs="仿宋_GB2312" w:hint="eastAsia"/>
          <w:sz w:val="32"/>
          <w:szCs w:val="32"/>
        </w:rPr>
        <w:t>年</w:t>
      </w:r>
      <w:r>
        <w:rPr>
          <w:rFonts w:ascii="仿宋_GB2312" w:hAnsi="仿宋_GB2312" w:cs="仿宋_GB2312" w:hint="eastAsia"/>
          <w:sz w:val="32"/>
          <w:szCs w:val="32"/>
        </w:rPr>
        <w:t>12</w:t>
      </w:r>
      <w:r>
        <w:rPr>
          <w:rFonts w:ascii="仿宋_GB2312" w:hAnsi="仿宋_GB2312" w:cs="仿宋_GB2312" w:hint="eastAsia"/>
          <w:sz w:val="32"/>
          <w:szCs w:val="32"/>
        </w:rPr>
        <w:t>月，被民政部确定为全</w:t>
      </w:r>
      <w:r>
        <w:rPr>
          <w:rFonts w:ascii="仿宋_GB2312" w:hAnsi="仿宋_GB2312" w:cs="仿宋_GB2312" w:hint="eastAsia"/>
          <w:sz w:val="32"/>
          <w:szCs w:val="32"/>
        </w:rPr>
        <w:t>国儿童福利机构高质量发展改革试点单位，承担起跨区域高质量发展改革示范、带动引领新使命，不断提升首都儿童福利事业的认知度、认可度和社会参与度。</w:t>
      </w:r>
    </w:p>
    <w:p w:rsidR="00477804" w:rsidRDefault="001E2B88">
      <w:pPr>
        <w:ind w:firstLine="640"/>
        <w:rPr>
          <w:rFonts w:ascii="仿宋_GB2312" w:hAnsi="仿宋_GB2312" w:cs="仿宋_GB2312"/>
          <w:sz w:val="32"/>
          <w:szCs w:val="32"/>
          <w:highlight w:val="yellow"/>
        </w:rPr>
      </w:pPr>
      <w:r>
        <w:rPr>
          <w:rFonts w:ascii="仿宋_GB2312" w:hAnsi="仿宋_GB2312" w:cs="仿宋_GB2312" w:hint="eastAsia"/>
          <w:sz w:val="32"/>
          <w:szCs w:val="32"/>
        </w:rPr>
        <w:lastRenderedPageBreak/>
        <w:t>（二）存在的问题及原因分析</w:t>
      </w:r>
      <w:bookmarkEnd w:id="28"/>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1</w:t>
      </w:r>
      <w:r>
        <w:rPr>
          <w:rFonts w:ascii="仿宋_GB2312" w:hAnsi="仿宋_GB2312" w:cs="仿宋_GB2312" w:hint="eastAsia"/>
          <w:sz w:val="32"/>
          <w:szCs w:val="32"/>
        </w:rPr>
        <w:t>、项目年初绩效指标设定不完善</w:t>
      </w:r>
    </w:p>
    <w:p w:rsidR="00477804" w:rsidRDefault="001E2B88">
      <w:pPr>
        <w:pStyle w:val="a3"/>
        <w:spacing w:line="540" w:lineRule="exact"/>
        <w:ind w:firstLine="640"/>
        <w:rPr>
          <w:rFonts w:ascii="仿宋_GB2312" w:hAnsi="仿宋_GB2312" w:cs="仿宋_GB2312"/>
          <w:sz w:val="32"/>
          <w:szCs w:val="32"/>
        </w:rPr>
      </w:pPr>
      <w:r>
        <w:rPr>
          <w:rFonts w:ascii="仿宋_GB2312" w:hAnsi="仿宋_GB2312" w:cs="仿宋_GB2312" w:hint="eastAsia"/>
          <w:sz w:val="32"/>
          <w:szCs w:val="32"/>
        </w:rPr>
        <w:t>项目的个别绩效指标的指标值量化不充分，可考量性较弱，难以进行准确的考核和评价工作。如：项目质量指标为“保障政府供养保障对象基本生活需求（伙食、服装、基本医疗、教育和康复等）”</w:t>
      </w:r>
      <w:r>
        <w:rPr>
          <w:rFonts w:ascii="仿宋_GB2312" w:hAnsi="仿宋_GB2312" w:cs="仿宋_GB2312" w:hint="eastAsia"/>
          <w:sz w:val="32"/>
          <w:szCs w:val="32"/>
        </w:rPr>
        <w:t>=99%</w:t>
      </w:r>
      <w:r>
        <w:rPr>
          <w:rFonts w:ascii="仿宋_GB2312" w:hAnsi="仿宋_GB2312" w:cs="仿宋_GB2312" w:hint="eastAsia"/>
          <w:sz w:val="32"/>
          <w:szCs w:val="32"/>
        </w:rPr>
        <w:t>；项目的绩效指标除满意度外缺乏具体成果和效益及社会效益的指标，</w:t>
      </w:r>
      <w:r>
        <w:rPr>
          <w:rFonts w:ascii="仿宋_GB2312" w:hAnsi="仿宋_GB2312" w:cs="仿宋_GB2312" w:hint="eastAsia"/>
          <w:kern w:val="0"/>
          <w:sz w:val="32"/>
          <w:szCs w:val="32"/>
        </w:rPr>
        <w:t>建议项目单位结合自身工作特点，对应细化儿童的身心发育、生活、学习等</w:t>
      </w:r>
      <w:r>
        <w:rPr>
          <w:rFonts w:ascii="仿宋_GB2312" w:hAnsi="仿宋_GB2312" w:cs="仿宋_GB2312" w:hint="eastAsia"/>
          <w:kern w:val="0"/>
          <w:sz w:val="32"/>
          <w:szCs w:val="32"/>
        </w:rPr>
        <w:t>保障情况分别设定相应的绩效指标。</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2</w:t>
      </w:r>
      <w:r>
        <w:rPr>
          <w:rFonts w:ascii="仿宋_GB2312" w:hAnsi="仿宋_GB2312" w:cs="仿宋_GB2312" w:hint="eastAsia"/>
          <w:sz w:val="32"/>
          <w:szCs w:val="32"/>
        </w:rPr>
        <w:t>、项目立项决策资料不足</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项目作为延续多年的经常性项目，项目单位缺少对历年项目实施情况进行梳理分析，未呈现上一年度绩效评价问题的整改措施及方式方法、整改结果等；经费测算依据的人数动态变化记录，新增和流出的人员和经费投入及支出情况不够清晰；应加强项目资金使用结构调研，年度孤残儿童生活用品、膳食材料以及药品需求量分析。</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3</w:t>
      </w:r>
      <w:r>
        <w:rPr>
          <w:rFonts w:ascii="仿宋_GB2312" w:hAnsi="仿宋_GB2312" w:cs="仿宋_GB2312" w:hint="eastAsia"/>
          <w:sz w:val="32"/>
          <w:szCs w:val="32"/>
        </w:rPr>
        <w:t>、绩效成果展现不足</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项目单位对脑瘫项目、特殊饮食等项目实施效果展现不足，中心组织实施的满意度调查工作中发现的问题，应及时应对。</w:t>
      </w:r>
    </w:p>
    <w:p w:rsidR="00477804" w:rsidRDefault="001E2B88">
      <w:pPr>
        <w:adjustRightInd w:val="0"/>
        <w:snapToGrid w:val="0"/>
        <w:spacing w:beforeLines="50" w:before="190" w:afterLines="50" w:after="190" w:line="540" w:lineRule="exact"/>
        <w:ind w:firstLine="640"/>
        <w:outlineLvl w:val="0"/>
        <w:rPr>
          <w:rFonts w:ascii="黑体" w:eastAsia="黑体" w:hAnsi="黑体" w:cs="黑体"/>
          <w:sz w:val="32"/>
          <w:szCs w:val="32"/>
        </w:rPr>
      </w:pPr>
      <w:bookmarkStart w:id="29" w:name="_Toc440"/>
      <w:bookmarkStart w:id="30" w:name="_Toc70879792"/>
      <w:r>
        <w:rPr>
          <w:rFonts w:ascii="黑体" w:eastAsia="黑体" w:hAnsi="黑体" w:cs="黑体" w:hint="eastAsia"/>
          <w:sz w:val="32"/>
          <w:szCs w:val="32"/>
        </w:rPr>
        <w:t>六、有关建议</w:t>
      </w:r>
      <w:bookmarkEnd w:id="29"/>
      <w:bookmarkEnd w:id="30"/>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1</w:t>
      </w:r>
      <w:r>
        <w:rPr>
          <w:rFonts w:ascii="仿宋_GB2312" w:hAnsi="仿宋_GB2312" w:cs="仿宋_GB2312" w:hint="eastAsia"/>
          <w:sz w:val="32"/>
          <w:szCs w:val="32"/>
        </w:rPr>
        <w:t>、建议项目在设</w:t>
      </w:r>
      <w:r>
        <w:rPr>
          <w:rFonts w:ascii="仿宋_GB2312" w:hAnsi="仿宋_GB2312" w:cs="仿宋_GB2312" w:hint="eastAsia"/>
          <w:sz w:val="32"/>
          <w:szCs w:val="32"/>
        </w:rPr>
        <w:t>立绩效指标时，明确预期绩效，细化量化指标。可以根据各项工作性质，把一般性要求分解为具体工作对应的量化标准，可参照本市社会福利机构同行业相关标准或院内具体工作的考核标准作为项目执行的质</w:t>
      </w:r>
      <w:r>
        <w:rPr>
          <w:rFonts w:ascii="仿宋_GB2312" w:hAnsi="仿宋_GB2312" w:cs="仿宋_GB2312" w:hint="eastAsia"/>
          <w:sz w:val="32"/>
          <w:szCs w:val="32"/>
        </w:rPr>
        <w:lastRenderedPageBreak/>
        <w:t>量指标的标准值；同时可以将项目执行的周期性工作作为项目进度控制、考核的进度指标。</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2</w:t>
      </w:r>
      <w:r>
        <w:rPr>
          <w:rFonts w:ascii="仿宋_GB2312" w:hAnsi="仿宋_GB2312" w:cs="仿宋_GB2312" w:hint="eastAsia"/>
          <w:sz w:val="32"/>
          <w:szCs w:val="32"/>
        </w:rPr>
        <w:t>、提高立项决策科学性，加强项目实施情况总结、分析，明确年度需求及重点，做好资金使用调研及完善资金分配工作，规范立项论证及决策程序。</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3</w:t>
      </w:r>
      <w:r>
        <w:rPr>
          <w:rFonts w:ascii="仿宋_GB2312" w:hAnsi="仿宋_GB2312" w:cs="仿宋_GB2312" w:hint="eastAsia"/>
          <w:sz w:val="32"/>
          <w:szCs w:val="32"/>
        </w:rPr>
        <w:t>、建议项目单位建立动态管理制度，完善项目实施方案，加强项目关键环节管控服务质量评价考核，提高风险防控意识，为项目</w:t>
      </w:r>
      <w:r>
        <w:rPr>
          <w:rFonts w:ascii="仿宋_GB2312" w:hAnsi="仿宋_GB2312" w:cs="仿宋_GB2312" w:hint="eastAsia"/>
          <w:sz w:val="32"/>
          <w:szCs w:val="32"/>
        </w:rPr>
        <w:t>的实施提供保障。对处于审议稿或试用阶段的制度进行全面梳理，明确制度正式生效的时间节点，并加快制度审议流程，确保制度能够及时落地执行。同时，建立分项考核评价机制，对制度的执行情况进行定期评估，及时发现问题并进行调整优化。</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4</w:t>
      </w:r>
      <w:r>
        <w:rPr>
          <w:rFonts w:ascii="仿宋_GB2312" w:hAnsi="仿宋_GB2312" w:cs="仿宋_GB2312" w:hint="eastAsia"/>
          <w:sz w:val="32"/>
          <w:szCs w:val="32"/>
        </w:rPr>
        <w:t>、建议项目单位加强科室日常工作过程轨迹资料的规范及保管工作，如药品管理、查房、服务质量考核等各项工作记录归档、保存完整。同时，应明确培训、考核指标和内容，定期检查成长档案，确保康复科培训和计划执行情况透明清晰。</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5</w:t>
      </w:r>
      <w:r>
        <w:rPr>
          <w:rFonts w:ascii="仿宋_GB2312" w:hAnsi="仿宋_GB2312" w:cs="仿宋_GB2312" w:hint="eastAsia"/>
          <w:sz w:val="32"/>
          <w:szCs w:val="32"/>
        </w:rPr>
        <w:t>、建议项目单位加强资金监管，完善调整决策机制，做好出入库管理。首先，确立资金</w:t>
      </w:r>
      <w:r>
        <w:rPr>
          <w:rFonts w:ascii="仿宋_GB2312" w:hAnsi="仿宋_GB2312" w:cs="仿宋_GB2312" w:hint="eastAsia"/>
          <w:sz w:val="32"/>
          <w:szCs w:val="32"/>
        </w:rPr>
        <w:t>分配的明确规则和原则，保证公正合理，并向相关人员公开以提高透明度。其次，强化预算管理，确保预算编制基于实际情况，执行中严格监控并适时调整以减少预算与实际支出的差异。补充完善预算金额发生变化内容的情况说明。</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6</w:t>
      </w:r>
      <w:r>
        <w:rPr>
          <w:rFonts w:ascii="仿宋_GB2312" w:hAnsi="仿宋_GB2312" w:cs="仿宋_GB2312" w:hint="eastAsia"/>
          <w:sz w:val="32"/>
          <w:szCs w:val="32"/>
        </w:rPr>
        <w:t>、建议项目单位加强绩效成果的展现，针对脑瘫项目和特殊饮食项目，应详细说明项目对象的确定依据，以及实施后的效果分析，确保成果的透明度和可衡量性。通过</w:t>
      </w:r>
      <w:r>
        <w:rPr>
          <w:rFonts w:ascii="仿宋_GB2312" w:hAnsi="仿宋_GB2312" w:cs="仿宋_GB2312" w:hint="eastAsia"/>
          <w:sz w:val="32"/>
          <w:szCs w:val="32"/>
        </w:rPr>
        <w:lastRenderedPageBreak/>
        <w:t>数据和案例展示项目成效，增强项目的可信度和影响力。保证项目绩效目标与实际工作内容具有相关性，保证困境儿童生活费分项标准中分项内容与工作任务相匹配。</w:t>
      </w:r>
    </w:p>
    <w:p w:rsidR="00477804" w:rsidRDefault="001E2B88">
      <w:pPr>
        <w:ind w:firstLine="640"/>
        <w:rPr>
          <w:rFonts w:ascii="仿宋_GB2312" w:hAnsi="仿宋_GB2312" w:cs="仿宋_GB2312"/>
          <w:sz w:val="32"/>
          <w:szCs w:val="32"/>
        </w:rPr>
      </w:pPr>
      <w:r>
        <w:rPr>
          <w:rFonts w:ascii="仿宋_GB2312" w:hAnsi="仿宋_GB2312" w:cs="仿宋_GB2312" w:hint="eastAsia"/>
          <w:sz w:val="32"/>
          <w:szCs w:val="32"/>
        </w:rPr>
        <w:t>7</w:t>
      </w:r>
      <w:r>
        <w:rPr>
          <w:rFonts w:ascii="仿宋_GB2312" w:hAnsi="仿宋_GB2312" w:cs="仿宋_GB2312" w:hint="eastAsia"/>
          <w:sz w:val="32"/>
          <w:szCs w:val="32"/>
        </w:rPr>
        <w:t>、补充做</w:t>
      </w:r>
      <w:r>
        <w:rPr>
          <w:rFonts w:ascii="仿宋_GB2312" w:hAnsi="仿宋_GB2312" w:cs="仿宋_GB2312" w:hint="eastAsia"/>
          <w:sz w:val="32"/>
          <w:szCs w:val="32"/>
        </w:rPr>
        <w:t>好已经实施的院内满意度调查及反馈工作，有效促进以后年度项目实施中有针对性的改进提高工作。</w:t>
      </w:r>
    </w:p>
    <w:p w:rsidR="00477804" w:rsidRDefault="001E2B88">
      <w:pPr>
        <w:adjustRightInd w:val="0"/>
        <w:snapToGrid w:val="0"/>
        <w:spacing w:beforeLines="50" w:before="190" w:afterLines="50" w:after="190" w:line="540" w:lineRule="exact"/>
        <w:ind w:firstLine="640"/>
        <w:outlineLvl w:val="0"/>
        <w:rPr>
          <w:rFonts w:ascii="黑体" w:eastAsia="黑体" w:hAnsi="黑体" w:cs="黑体"/>
          <w:sz w:val="32"/>
          <w:szCs w:val="32"/>
        </w:rPr>
      </w:pPr>
      <w:bookmarkStart w:id="31" w:name="_Toc98"/>
      <w:bookmarkStart w:id="32" w:name="_Toc70879793"/>
      <w:r>
        <w:rPr>
          <w:rFonts w:ascii="黑体" w:eastAsia="黑体" w:hAnsi="黑体" w:cs="黑体" w:hint="eastAsia"/>
          <w:sz w:val="32"/>
          <w:szCs w:val="32"/>
        </w:rPr>
        <w:t>七、其他需要说明的问题</w:t>
      </w:r>
      <w:bookmarkEnd w:id="31"/>
      <w:bookmarkEnd w:id="32"/>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目前市儿福受人员编制限制，院内服务于困境儿童的护理员有一半属于劳务派遣人员，工作人员队伍欠缺稳定性，且工作人员缺乏专业技术人员和护理知识，需要长期不间断地培养护理人员队伍。</w:t>
      </w:r>
    </w:p>
    <w:p w:rsidR="00477804" w:rsidRDefault="001E2B88">
      <w:pPr>
        <w:adjustRightInd w:val="0"/>
        <w:snapToGrid w:val="0"/>
        <w:spacing w:line="540" w:lineRule="exact"/>
        <w:ind w:firstLine="640"/>
        <w:contextualSpacing/>
        <w:rPr>
          <w:rFonts w:ascii="仿宋_GB2312" w:hAnsi="仿宋_GB2312" w:cs="仿宋_GB2312"/>
          <w:kern w:val="0"/>
          <w:sz w:val="32"/>
          <w:szCs w:val="32"/>
        </w:rPr>
      </w:pPr>
      <w:r>
        <w:rPr>
          <w:rFonts w:ascii="仿宋_GB2312" w:hAnsi="仿宋_GB2312" w:cs="仿宋_GB2312" w:hint="eastAsia"/>
          <w:kern w:val="0"/>
          <w:sz w:val="32"/>
          <w:szCs w:val="32"/>
        </w:rPr>
        <w:t>后续市儿福应进一步加强对院内护理人员的培训工作，理论与实际操作相结合，加强周期性的操作考核，努力提高护理水平，提升护理人员的综合素质。同</w:t>
      </w:r>
      <w:r>
        <w:rPr>
          <w:rFonts w:ascii="仿宋_GB2312" w:hAnsi="仿宋_GB2312" w:cs="仿宋_GB2312" w:hint="eastAsia"/>
          <w:kern w:val="0"/>
          <w:sz w:val="32"/>
          <w:szCs w:val="32"/>
        </w:rPr>
        <w:t>时发挥蔡保根技能大师工作室作用，坚持引进来走出去相结合，持续做好一线医生、护士、教师、康复师、社工以及孤残儿童护理员的技能培训，强化职工的继续教育，不断提升为困境儿童服务的技能水平。</w:t>
      </w:r>
    </w:p>
    <w:p w:rsidR="00477804" w:rsidRDefault="00477804">
      <w:pPr>
        <w:pStyle w:val="a3"/>
        <w:ind w:firstLine="640"/>
        <w:rPr>
          <w:rFonts w:ascii="仿宋_GB2312" w:hAnsi="仿宋_GB2312" w:cs="仿宋_GB2312"/>
          <w:kern w:val="0"/>
          <w:sz w:val="32"/>
          <w:szCs w:val="32"/>
        </w:rPr>
      </w:pPr>
    </w:p>
    <w:p w:rsidR="00477804" w:rsidRDefault="00477804">
      <w:pPr>
        <w:pStyle w:val="a3"/>
        <w:ind w:firstLineChars="0" w:firstLine="0"/>
        <w:rPr>
          <w:rFonts w:ascii="仿宋_GB2312" w:hAnsi="仿宋_GB2312" w:cs="仿宋_GB2312"/>
          <w:kern w:val="0"/>
          <w:sz w:val="32"/>
          <w:szCs w:val="32"/>
        </w:rPr>
      </w:pPr>
    </w:p>
    <w:p w:rsidR="00477804" w:rsidRDefault="001E2B88">
      <w:pPr>
        <w:adjustRightInd w:val="0"/>
        <w:snapToGrid w:val="0"/>
        <w:spacing w:line="540" w:lineRule="exact"/>
        <w:ind w:firstLine="640"/>
        <w:contextualSpacing/>
        <w:rPr>
          <w:rFonts w:ascii="仿宋_GB2312" w:hAnsi="仿宋_GB2312" w:cs="仿宋_GB2312"/>
          <w:sz w:val="32"/>
          <w:szCs w:val="32"/>
        </w:rPr>
        <w:sectPr w:rsidR="00477804">
          <w:pgSz w:w="11907" w:h="16840"/>
          <w:pgMar w:top="1440" w:right="1797" w:bottom="1440" w:left="1797" w:header="851" w:footer="992" w:gutter="0"/>
          <w:cols w:space="720"/>
          <w:docGrid w:type="linesAndChars" w:linePitch="381"/>
        </w:sectPr>
      </w:pPr>
      <w:r>
        <w:rPr>
          <w:rFonts w:ascii="仿宋_GB2312" w:hAnsi="仿宋_GB2312" w:cs="仿宋_GB2312" w:hint="eastAsia"/>
          <w:kern w:val="0"/>
          <w:sz w:val="32"/>
          <w:szCs w:val="32"/>
        </w:rPr>
        <w:t>附件：评分表</w:t>
      </w:r>
    </w:p>
    <w:p w:rsidR="00477804" w:rsidRDefault="001E2B88">
      <w:pPr>
        <w:snapToGrid w:val="0"/>
        <w:spacing w:line="580" w:lineRule="exact"/>
        <w:ind w:firstLineChars="0" w:firstLine="0"/>
        <w:rPr>
          <w:rFonts w:ascii="仿宋_GB2312" w:hAnsi="仿宋_GB2312" w:cs="仿宋_GB2312"/>
          <w:sz w:val="32"/>
          <w:szCs w:val="32"/>
        </w:rPr>
      </w:pPr>
      <w:r>
        <w:rPr>
          <w:rFonts w:ascii="仿宋_GB2312" w:hAnsi="仿宋_GB2312" w:cs="仿宋_GB2312" w:hint="eastAsia"/>
          <w:sz w:val="32"/>
          <w:szCs w:val="32"/>
        </w:rPr>
        <w:lastRenderedPageBreak/>
        <w:t>附件：</w:t>
      </w:r>
    </w:p>
    <w:p w:rsidR="00477804" w:rsidRDefault="001E2B88">
      <w:pPr>
        <w:pStyle w:val="a3"/>
        <w:ind w:firstLine="560"/>
        <w:rPr>
          <w:highlight w:val="yellow"/>
        </w:rPr>
      </w:pPr>
      <w:r>
        <w:rPr>
          <w:rFonts w:hint="eastAsia"/>
          <w:noProof/>
          <w:highlight w:val="yellow"/>
        </w:rPr>
        <w:drawing>
          <wp:anchor distT="0" distB="0" distL="114300" distR="114300" simplePos="0" relativeHeight="251675648" behindDoc="0" locked="0" layoutInCell="1" allowOverlap="1">
            <wp:simplePos x="0" y="0"/>
            <wp:positionH relativeFrom="column">
              <wp:posOffset>-322580</wp:posOffset>
            </wp:positionH>
            <wp:positionV relativeFrom="paragraph">
              <wp:posOffset>107315</wp:posOffset>
            </wp:positionV>
            <wp:extent cx="5924550" cy="7916545"/>
            <wp:effectExtent l="0" t="0" r="3810" b="8255"/>
            <wp:wrapNone/>
            <wp:docPr id="6" name="图片 6" descr="儿福三级评分表92.58-修改后_pj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儿福三级评分表92.58-修改后_pjf"/>
                    <pic:cNvPicPr>
                      <a:picLocks noChangeAspect="1"/>
                    </pic:cNvPicPr>
                  </pic:nvPicPr>
                  <pic:blipFill>
                    <a:blip r:embed="rId25"/>
                    <a:stretch>
                      <a:fillRect/>
                    </a:stretch>
                  </pic:blipFill>
                  <pic:spPr>
                    <a:xfrm>
                      <a:off x="0" y="0"/>
                      <a:ext cx="5924550" cy="7916545"/>
                    </a:xfrm>
                    <a:prstGeom prst="rect">
                      <a:avLst/>
                    </a:prstGeom>
                  </pic:spPr>
                </pic:pic>
              </a:graphicData>
            </a:graphic>
          </wp:anchor>
        </w:drawing>
      </w:r>
    </w:p>
    <w:sectPr w:rsidR="0047780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2B88" w:rsidRDefault="001E2B88">
      <w:pPr>
        <w:spacing w:line="240" w:lineRule="auto"/>
        <w:ind w:firstLine="560"/>
      </w:pPr>
      <w:r>
        <w:separator/>
      </w:r>
    </w:p>
  </w:endnote>
  <w:endnote w:type="continuationSeparator" w:id="0">
    <w:p w:rsidR="001E2B88" w:rsidRDefault="001E2B88">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D86D282B-4ECC-45BE-AECE-B1999738A123}"/>
  </w:font>
  <w:font w:name="黑体">
    <w:altName w:val="SimHei"/>
    <w:panose1 w:val="02010609060101010101"/>
    <w:charset w:val="86"/>
    <w:family w:val="modern"/>
    <w:pitch w:val="fixed"/>
    <w:sig w:usb0="800002BF" w:usb1="38CF7CFA" w:usb2="00000016" w:usb3="00000000" w:csb0="00040001" w:csb1="00000000"/>
    <w:embedRegular r:id="rId2" w:subsetted="1" w:fontKey="{29C27A52-C795-410D-AB76-66166C63F4DF}"/>
  </w:font>
  <w:font w:name="仿宋">
    <w:panose1 w:val="02010609060101010101"/>
    <w:charset w:val="86"/>
    <w:family w:val="modern"/>
    <w:pitch w:val="fixed"/>
    <w:sig w:usb0="800002BF" w:usb1="38CF7CFA" w:usb2="00000016" w:usb3="00000000" w:csb0="00040001" w:csb1="00000000"/>
    <w:embedBold r:id="rId3" w:subsetted="1" w:fontKey="{C9023F1E-838E-4BA2-8A3E-6F4C17325CFB}"/>
  </w:font>
  <w:font w:name="楷体_GB2312">
    <w:panose1 w:val="02010609030101010101"/>
    <w:charset w:val="86"/>
    <w:family w:val="modern"/>
    <w:pitch w:val="fixed"/>
    <w:sig w:usb0="00000001" w:usb1="080E0000" w:usb2="00000010" w:usb3="00000000" w:csb0="00040000" w:csb1="00000000"/>
    <w:embedBold r:id="rId4" w:subsetted="1" w:fontKey="{1FCFDF02-94F5-4A88-B1F1-587F731D8A8B}"/>
  </w:font>
  <w:font w:name="方正小标宋简体">
    <w:panose1 w:val="03000509000000000000"/>
    <w:charset w:val="86"/>
    <w:family w:val="script"/>
    <w:pitch w:val="fixed"/>
    <w:sig w:usb0="00000001" w:usb1="080E0000" w:usb2="00000010" w:usb3="00000000" w:csb0="00040000" w:csb1="00000000"/>
    <w:embedBold r:id="rId5" w:subsetted="1" w:fontKey="{1FDC31AE-7014-45D8-9A59-A64D19794064}"/>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804" w:rsidRDefault="00477804">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804" w:rsidRDefault="00477804">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804" w:rsidRDefault="00477804">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804" w:rsidRDefault="001E2B88">
    <w:pPr>
      <w:pStyle w:val="a5"/>
      <w:ind w:firstLine="560"/>
      <w:jc w:val="center"/>
    </w:pPr>
    <w:r>
      <w:fldChar w:fldCharType="begin"/>
    </w:r>
    <w:r>
      <w:instrText xml:space="preserve"> PAGE   \* MERGEFORMAT </w:instrText>
    </w:r>
    <w:r>
      <w:fldChar w:fldCharType="separate"/>
    </w:r>
    <w:r w:rsidR="00504A5E" w:rsidRPr="00504A5E">
      <w:rPr>
        <w:noProof/>
        <w:lang w:val="zh-CN"/>
      </w:rPr>
      <w:t>1</w:t>
    </w:r>
    <w:r>
      <w:rPr>
        <w:lang w:val="zh-CN"/>
      </w:rPr>
      <w:fldChar w:fldCharType="end"/>
    </w:r>
  </w:p>
  <w:p w:rsidR="00477804" w:rsidRDefault="00477804">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804" w:rsidRDefault="001E2B88">
    <w:pPr>
      <w:pStyle w:val="a5"/>
      <w:ind w:firstLine="560"/>
      <w:jc w:val="center"/>
    </w:pPr>
    <w:r>
      <w:fldChar w:fldCharType="begin"/>
    </w:r>
    <w:r>
      <w:instrText xml:space="preserve"> PAGE   \* MERGEFORMAT </w:instrText>
    </w:r>
    <w:r>
      <w:fldChar w:fldCharType="separate"/>
    </w:r>
    <w:r w:rsidR="00504A5E" w:rsidRPr="00504A5E">
      <w:rPr>
        <w:noProof/>
        <w:lang w:val="zh-CN"/>
      </w:rPr>
      <w:t>17</w:t>
    </w:r>
    <w:r>
      <w:rPr>
        <w:lang w:val="zh-CN"/>
      </w:rPr>
      <w:fldChar w:fldCharType="end"/>
    </w:r>
  </w:p>
  <w:p w:rsidR="00477804" w:rsidRDefault="0047780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2B88" w:rsidRDefault="001E2B88">
      <w:pPr>
        <w:spacing w:line="240" w:lineRule="auto"/>
        <w:ind w:firstLine="560"/>
      </w:pPr>
      <w:r>
        <w:separator/>
      </w:r>
    </w:p>
  </w:footnote>
  <w:footnote w:type="continuationSeparator" w:id="0">
    <w:p w:rsidR="001E2B88" w:rsidRDefault="001E2B88">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804" w:rsidRDefault="00477804">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804" w:rsidRDefault="00477804">
    <w:pPr>
      <w:pStyle w:val="a6"/>
      <w:pBdr>
        <w:bottom w:val="none" w:sz="0" w:space="1"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804" w:rsidRDefault="00477804">
    <w:pPr>
      <w:pStyle w:val="a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c3MDc1NDM4NzZhNGU5YTg0MzM3MWNlMmUxNDk0ZjkifQ=="/>
  </w:docVars>
  <w:rsids>
    <w:rsidRoot w:val="43B662B7"/>
    <w:rsid w:val="00050D66"/>
    <w:rsid w:val="00062AFB"/>
    <w:rsid w:val="00064A1B"/>
    <w:rsid w:val="000A43E7"/>
    <w:rsid w:val="00122E07"/>
    <w:rsid w:val="001247A9"/>
    <w:rsid w:val="001B0C0B"/>
    <w:rsid w:val="001E2B88"/>
    <w:rsid w:val="001F0C81"/>
    <w:rsid w:val="00297355"/>
    <w:rsid w:val="002F7AAF"/>
    <w:rsid w:val="00302B4A"/>
    <w:rsid w:val="00452783"/>
    <w:rsid w:val="00477804"/>
    <w:rsid w:val="00497343"/>
    <w:rsid w:val="004C2AA7"/>
    <w:rsid w:val="004D4D87"/>
    <w:rsid w:val="00504A5E"/>
    <w:rsid w:val="005163D7"/>
    <w:rsid w:val="0056045E"/>
    <w:rsid w:val="005C47B3"/>
    <w:rsid w:val="00626525"/>
    <w:rsid w:val="0064447B"/>
    <w:rsid w:val="006642C8"/>
    <w:rsid w:val="00677A8A"/>
    <w:rsid w:val="006C0478"/>
    <w:rsid w:val="006C3A72"/>
    <w:rsid w:val="006C72E3"/>
    <w:rsid w:val="006D4153"/>
    <w:rsid w:val="007A3D4F"/>
    <w:rsid w:val="00856A43"/>
    <w:rsid w:val="00897904"/>
    <w:rsid w:val="008B583C"/>
    <w:rsid w:val="008E4ECE"/>
    <w:rsid w:val="00904487"/>
    <w:rsid w:val="00907B3B"/>
    <w:rsid w:val="00913D96"/>
    <w:rsid w:val="00A419B7"/>
    <w:rsid w:val="00A43AD9"/>
    <w:rsid w:val="00A458F1"/>
    <w:rsid w:val="00A57998"/>
    <w:rsid w:val="00AB5C8E"/>
    <w:rsid w:val="00AF1912"/>
    <w:rsid w:val="00BE20D2"/>
    <w:rsid w:val="00C26800"/>
    <w:rsid w:val="00C327E2"/>
    <w:rsid w:val="00CA1B66"/>
    <w:rsid w:val="00D111DA"/>
    <w:rsid w:val="00DE3116"/>
    <w:rsid w:val="00DF644A"/>
    <w:rsid w:val="00E4213A"/>
    <w:rsid w:val="00E730E7"/>
    <w:rsid w:val="00EA79F7"/>
    <w:rsid w:val="00ED3F3B"/>
    <w:rsid w:val="00EE5852"/>
    <w:rsid w:val="00F728B4"/>
    <w:rsid w:val="00F81E11"/>
    <w:rsid w:val="03BD5AE4"/>
    <w:rsid w:val="03FF60FC"/>
    <w:rsid w:val="044A13CD"/>
    <w:rsid w:val="048B5BE2"/>
    <w:rsid w:val="05F0416B"/>
    <w:rsid w:val="063A78C0"/>
    <w:rsid w:val="078B5EF9"/>
    <w:rsid w:val="07927288"/>
    <w:rsid w:val="07C3421A"/>
    <w:rsid w:val="08712E62"/>
    <w:rsid w:val="08EE53BC"/>
    <w:rsid w:val="08FC70AE"/>
    <w:rsid w:val="09EE0D89"/>
    <w:rsid w:val="0B7849E6"/>
    <w:rsid w:val="0BD53BE7"/>
    <w:rsid w:val="0BE81B6C"/>
    <w:rsid w:val="0D58687D"/>
    <w:rsid w:val="0EF97BEC"/>
    <w:rsid w:val="10AC39EF"/>
    <w:rsid w:val="10AF2C58"/>
    <w:rsid w:val="115D291E"/>
    <w:rsid w:val="11632708"/>
    <w:rsid w:val="118136A9"/>
    <w:rsid w:val="11B505DD"/>
    <w:rsid w:val="12B64F8D"/>
    <w:rsid w:val="13456BDD"/>
    <w:rsid w:val="13C32952"/>
    <w:rsid w:val="14261483"/>
    <w:rsid w:val="14B00D4D"/>
    <w:rsid w:val="156F0C08"/>
    <w:rsid w:val="15B30AF5"/>
    <w:rsid w:val="15B34F99"/>
    <w:rsid w:val="184E0FA9"/>
    <w:rsid w:val="18D94D16"/>
    <w:rsid w:val="195C76F5"/>
    <w:rsid w:val="1A0E50CF"/>
    <w:rsid w:val="1A3B0E28"/>
    <w:rsid w:val="1B7A3E63"/>
    <w:rsid w:val="1BE7237F"/>
    <w:rsid w:val="1CA508FC"/>
    <w:rsid w:val="1CA92DB7"/>
    <w:rsid w:val="1CBE5C80"/>
    <w:rsid w:val="1D8C2AA0"/>
    <w:rsid w:val="1EA24FAD"/>
    <w:rsid w:val="1ED02718"/>
    <w:rsid w:val="1F536EA5"/>
    <w:rsid w:val="215A70F7"/>
    <w:rsid w:val="219F291F"/>
    <w:rsid w:val="225F7ABB"/>
    <w:rsid w:val="240A5FC1"/>
    <w:rsid w:val="247051DA"/>
    <w:rsid w:val="24FD7FDE"/>
    <w:rsid w:val="27C84E96"/>
    <w:rsid w:val="28991DCC"/>
    <w:rsid w:val="28B74948"/>
    <w:rsid w:val="2D0534F9"/>
    <w:rsid w:val="2E255EB0"/>
    <w:rsid w:val="2E8155B4"/>
    <w:rsid w:val="30F57DBC"/>
    <w:rsid w:val="31083F93"/>
    <w:rsid w:val="32912DDB"/>
    <w:rsid w:val="32E77BD8"/>
    <w:rsid w:val="33030EB6"/>
    <w:rsid w:val="33954504"/>
    <w:rsid w:val="34F31AB7"/>
    <w:rsid w:val="352275ED"/>
    <w:rsid w:val="35245113"/>
    <w:rsid w:val="35700359"/>
    <w:rsid w:val="36A569E5"/>
    <w:rsid w:val="37EA43F2"/>
    <w:rsid w:val="38F92413"/>
    <w:rsid w:val="391E0899"/>
    <w:rsid w:val="3A780723"/>
    <w:rsid w:val="3AF335C3"/>
    <w:rsid w:val="3B001ABE"/>
    <w:rsid w:val="3C6A7C3F"/>
    <w:rsid w:val="3CA374A3"/>
    <w:rsid w:val="3CB7061B"/>
    <w:rsid w:val="3D3102FF"/>
    <w:rsid w:val="3D475E43"/>
    <w:rsid w:val="3D566086"/>
    <w:rsid w:val="3FF878C8"/>
    <w:rsid w:val="40543C97"/>
    <w:rsid w:val="41B65954"/>
    <w:rsid w:val="429C343E"/>
    <w:rsid w:val="42FC147E"/>
    <w:rsid w:val="4340580E"/>
    <w:rsid w:val="437C436D"/>
    <w:rsid w:val="43B662B7"/>
    <w:rsid w:val="45CC19FB"/>
    <w:rsid w:val="46492C2C"/>
    <w:rsid w:val="47C1032E"/>
    <w:rsid w:val="48B25FDD"/>
    <w:rsid w:val="49366D6C"/>
    <w:rsid w:val="4AAD7CB1"/>
    <w:rsid w:val="4B124C0F"/>
    <w:rsid w:val="4B73257A"/>
    <w:rsid w:val="4C4A377A"/>
    <w:rsid w:val="4DAE15C6"/>
    <w:rsid w:val="4EDE24FE"/>
    <w:rsid w:val="4F2163AC"/>
    <w:rsid w:val="52F61A46"/>
    <w:rsid w:val="556F2587"/>
    <w:rsid w:val="56D227CA"/>
    <w:rsid w:val="570D7C3B"/>
    <w:rsid w:val="57234DD3"/>
    <w:rsid w:val="573A3ECB"/>
    <w:rsid w:val="59345076"/>
    <w:rsid w:val="599B6EA3"/>
    <w:rsid w:val="59FF54DD"/>
    <w:rsid w:val="5A897643"/>
    <w:rsid w:val="5AA40E85"/>
    <w:rsid w:val="5C2313D1"/>
    <w:rsid w:val="5CE267C3"/>
    <w:rsid w:val="5DD62B9F"/>
    <w:rsid w:val="5FC15189"/>
    <w:rsid w:val="60791F08"/>
    <w:rsid w:val="609E5BB3"/>
    <w:rsid w:val="60AC3248"/>
    <w:rsid w:val="60BB42CE"/>
    <w:rsid w:val="60E30CD7"/>
    <w:rsid w:val="61FC5612"/>
    <w:rsid w:val="62534BF9"/>
    <w:rsid w:val="6330208D"/>
    <w:rsid w:val="63F975E8"/>
    <w:rsid w:val="64BB1ECD"/>
    <w:rsid w:val="66552ACF"/>
    <w:rsid w:val="675F4520"/>
    <w:rsid w:val="677175D4"/>
    <w:rsid w:val="68D84CAE"/>
    <w:rsid w:val="6ADF0BB9"/>
    <w:rsid w:val="6BAF67DE"/>
    <w:rsid w:val="6BBA58AE"/>
    <w:rsid w:val="6C4909E0"/>
    <w:rsid w:val="6D8A573F"/>
    <w:rsid w:val="6D9C4858"/>
    <w:rsid w:val="6E35790A"/>
    <w:rsid w:val="6EBB19BE"/>
    <w:rsid w:val="712832BA"/>
    <w:rsid w:val="71D23226"/>
    <w:rsid w:val="73463ECB"/>
    <w:rsid w:val="73C80D84"/>
    <w:rsid w:val="766823AB"/>
    <w:rsid w:val="76790F28"/>
    <w:rsid w:val="771B60E3"/>
    <w:rsid w:val="7749397A"/>
    <w:rsid w:val="779E22EB"/>
    <w:rsid w:val="77AB3A64"/>
    <w:rsid w:val="77F10152"/>
    <w:rsid w:val="7A1A1C0E"/>
    <w:rsid w:val="7B3F408A"/>
    <w:rsid w:val="7B931C78"/>
    <w:rsid w:val="7BBB30E0"/>
    <w:rsid w:val="7CB71996"/>
    <w:rsid w:val="7CCD6C4F"/>
    <w:rsid w:val="7E507332"/>
    <w:rsid w:val="7E73AC81"/>
    <w:rsid w:val="7E811F23"/>
    <w:rsid w:val="7F052E8D"/>
    <w:rsid w:val="7F1E3F4E"/>
    <w:rsid w:val="7F2E0BBF"/>
    <w:rsid w:val="7FBB6A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D4BCC9B9-C1A0-4A9C-93E9-7C6CBBF19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unhideWhenUsed="1" w:qFormat="1"/>
    <w:lsdException w:name="footnote text" w:qFormat="1"/>
    <w:lsdException w:name="annotation text" w:unhideWhenUsed="1" w:qFormat="1"/>
    <w:lsdException w:name="header" w:uiPriority="99"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99"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500" w:lineRule="exact"/>
      <w:ind w:firstLineChars="200" w:firstLine="200"/>
      <w:jc w:val="both"/>
    </w:pPr>
    <w:rPr>
      <w:rFonts w:eastAsia="仿宋_GB2312"/>
      <w:kern w:val="2"/>
      <w:sz w:val="28"/>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unhideWhenUsed/>
    <w:qFormat/>
    <w:pPr>
      <w:ind w:firstLine="420"/>
    </w:pPr>
  </w:style>
  <w:style w:type="paragraph" w:styleId="a4">
    <w:name w:val="annotation text"/>
    <w:basedOn w:val="a"/>
    <w:link w:val="Char"/>
    <w:unhideWhenUsed/>
    <w:qFormat/>
    <w:pPr>
      <w:jc w:val="left"/>
    </w:pPr>
  </w:style>
  <w:style w:type="paragraph" w:styleId="a5">
    <w:name w:val="footer"/>
    <w:basedOn w:val="a"/>
    <w:uiPriority w:val="99"/>
    <w:qFormat/>
    <w:pPr>
      <w:tabs>
        <w:tab w:val="center" w:pos="4153"/>
        <w:tab w:val="right" w:pos="8306"/>
      </w:tabs>
      <w:ind w:firstLineChars="0" w:firstLine="0"/>
      <w:jc w:val="left"/>
    </w:pPr>
    <w:rPr>
      <w:rFonts w:eastAsia="宋体"/>
      <w:kern w:val="0"/>
      <w:sz w:val="18"/>
      <w:szCs w:val="18"/>
    </w:rPr>
  </w:style>
  <w:style w:type="paragraph" w:styleId="a6">
    <w:name w:val="header"/>
    <w:basedOn w:val="a"/>
    <w:uiPriority w:val="99"/>
    <w:qFormat/>
    <w:pPr>
      <w:pBdr>
        <w:bottom w:val="single" w:sz="6" w:space="1" w:color="auto"/>
      </w:pBdr>
      <w:tabs>
        <w:tab w:val="center" w:pos="4153"/>
        <w:tab w:val="right" w:pos="8306"/>
      </w:tabs>
      <w:ind w:firstLineChars="0" w:firstLine="0"/>
      <w:jc w:val="center"/>
    </w:pPr>
    <w:rPr>
      <w:rFonts w:eastAsia="宋体"/>
      <w:kern w:val="0"/>
      <w:sz w:val="18"/>
      <w:szCs w:val="18"/>
    </w:rPr>
  </w:style>
  <w:style w:type="paragraph" w:styleId="1">
    <w:name w:val="toc 1"/>
    <w:basedOn w:val="a"/>
    <w:next w:val="a"/>
    <w:uiPriority w:val="99"/>
    <w:qFormat/>
    <w:pPr>
      <w:tabs>
        <w:tab w:val="right" w:leader="dot" w:pos="8302"/>
      </w:tabs>
      <w:ind w:left="567" w:firstLineChars="0" w:firstLine="0"/>
      <w:jc w:val="left"/>
    </w:pPr>
    <w:rPr>
      <w:rFonts w:ascii="黑体" w:eastAsia="黑体"/>
      <w:kern w:val="0"/>
      <w:szCs w:val="20"/>
    </w:rPr>
  </w:style>
  <w:style w:type="paragraph" w:styleId="a7">
    <w:name w:val="footnote text"/>
    <w:basedOn w:val="a"/>
    <w:qFormat/>
    <w:pPr>
      <w:snapToGrid w:val="0"/>
      <w:ind w:firstLine="624"/>
    </w:pPr>
    <w:rPr>
      <w:sz w:val="18"/>
    </w:rPr>
  </w:style>
  <w:style w:type="paragraph" w:styleId="2">
    <w:name w:val="toc 2"/>
    <w:basedOn w:val="a"/>
    <w:next w:val="a"/>
    <w:uiPriority w:val="39"/>
    <w:qFormat/>
    <w:pPr>
      <w:ind w:leftChars="200" w:left="420"/>
    </w:pPr>
  </w:style>
  <w:style w:type="paragraph" w:styleId="a8">
    <w:name w:val="annotation subject"/>
    <w:basedOn w:val="a4"/>
    <w:next w:val="a4"/>
    <w:link w:val="Char0"/>
    <w:semiHidden/>
    <w:unhideWhenUsed/>
    <w:qFormat/>
    <w:rPr>
      <w:b/>
      <w:bCs/>
    </w:rPr>
  </w:style>
  <w:style w:type="character" w:styleId="a9">
    <w:name w:val="page number"/>
    <w:uiPriority w:val="99"/>
    <w:qFormat/>
    <w:rPr>
      <w:rFonts w:cs="Times New Roman"/>
    </w:rPr>
  </w:style>
  <w:style w:type="character" w:styleId="aa">
    <w:name w:val="Hyperlink"/>
    <w:uiPriority w:val="99"/>
    <w:qFormat/>
    <w:rPr>
      <w:rFonts w:cs="Times New Roman"/>
      <w:color w:val="0000FF"/>
      <w:u w:val="single"/>
    </w:rPr>
  </w:style>
  <w:style w:type="character" w:styleId="ab">
    <w:name w:val="annotation reference"/>
    <w:basedOn w:val="a0"/>
    <w:semiHidden/>
    <w:unhideWhenUsed/>
    <w:qFormat/>
    <w:rPr>
      <w:sz w:val="21"/>
      <w:szCs w:val="21"/>
    </w:rPr>
  </w:style>
  <w:style w:type="paragraph" w:customStyle="1" w:styleId="10">
    <w:name w:val="修订1"/>
    <w:hidden/>
    <w:uiPriority w:val="99"/>
    <w:semiHidden/>
    <w:qFormat/>
    <w:rPr>
      <w:rFonts w:eastAsia="仿宋_GB2312"/>
      <w:kern w:val="2"/>
      <w:sz w:val="28"/>
      <w:szCs w:val="22"/>
    </w:rPr>
  </w:style>
  <w:style w:type="character" w:customStyle="1" w:styleId="Char">
    <w:name w:val="批注文字 Char"/>
    <w:basedOn w:val="a0"/>
    <w:link w:val="a4"/>
    <w:qFormat/>
    <w:rPr>
      <w:rFonts w:eastAsia="仿宋_GB2312"/>
      <w:kern w:val="2"/>
      <w:sz w:val="28"/>
      <w:szCs w:val="22"/>
    </w:rPr>
  </w:style>
  <w:style w:type="character" w:customStyle="1" w:styleId="Char0">
    <w:name w:val="批注主题 Char"/>
    <w:basedOn w:val="Char"/>
    <w:link w:val="a8"/>
    <w:semiHidden/>
    <w:qFormat/>
    <w:rPr>
      <w:rFonts w:eastAsia="仿宋_GB2312"/>
      <w:b/>
      <w:bCs/>
      <w:kern w:val="2"/>
      <w:sz w:val="28"/>
      <w:szCs w:val="22"/>
    </w:rPr>
  </w:style>
  <w:style w:type="paragraph" w:styleId="ac">
    <w:name w:val="List Paragraph"/>
    <w:basedOn w:val="a"/>
    <w:uiPriority w:val="99"/>
    <w:unhideWhenUsed/>
    <w:qFormat/>
    <w:pPr>
      <w:ind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3.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2.xml"/><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5.xml"/><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0.png"/><Relationship Id="rId10" Type="http://schemas.openxmlformats.org/officeDocument/2006/relationships/image" Target="media/image4.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 Id="rId22" Type="http://schemas.openxmlformats.org/officeDocument/2006/relationships/image" Target="media/image9.emf"/><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30</Pages>
  <Words>1921</Words>
  <Characters>10956</Characters>
  <Application>Microsoft Office Word</Application>
  <DocSecurity>0</DocSecurity>
  <Lines>91</Lines>
  <Paragraphs>25</Paragraphs>
  <ScaleCrop>false</ScaleCrop>
  <Company/>
  <LinksUpToDate>false</LinksUpToDate>
  <CharactersWithSpaces>12852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音</dc:creator>
  <cp:lastModifiedBy>高小云</cp:lastModifiedBy>
  <cp:revision>5</cp:revision>
  <dcterms:created xsi:type="dcterms:W3CDTF">2025-08-20T22:52:00Z</dcterms:created>
  <dcterms:modified xsi:type="dcterms:W3CDTF">2025-08-22T06:19:00Z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2052-12.8.2.20327</vt:lpwstr>
  </property>
  <property fmtid="{D5CDD505-2E9C-101B-9397-08002B2CF9AE}" pid="3" name="ICV">
    <vt:lpwstr>493B9A7D7D7D5079F1D9A76805FBE6A2_43</vt:lpwstr>
  </property>
  <property fmtid="{D5CDD505-2E9C-101B-9397-08002B2CF9AE}" pid="4" name="KSOTemplateDocerSaveRecord">
    <vt:lpwstr>eyJoZGlkIjoiMmRmNGIxNTcwMjEzZTBhZmU2NzA2MDkzYzE0MTFmMGIiLCJ1c2VySWQiOiIyMjg5NDAwMTkifQ==</vt:lpwstr>
  </property>
</Properties>
</file>