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5F47B" w14:textId="77777777" w:rsidR="00414524" w:rsidRDefault="00E55B88">
      <w:pPr>
        <w:jc w:val="center"/>
      </w:pPr>
      <w:bookmarkStart w:id="0" w:name="_Hlk102137396"/>
      <w:r>
        <w:pict w14:anchorId="31EC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style="position:absolute;left:0;text-align:left;margin-left:-74.45pt;margin-top:-4.1pt;width:542.2pt;height:673.35pt;z-index:1;mso-wrap-distance-left:9pt;mso-wrap-distance-top:0;mso-wrap-distance-right:9pt;mso-wrap-distance-bottom:0;mso-width-relative:page;mso-height-relative:page">
            <v:imagedata r:id="rId7" o:title=""/>
            <w10:wrap type="square"/>
          </v:shape>
        </w:pict>
      </w:r>
      <w:bookmarkEnd w:id="0"/>
      <w:r>
        <w:br w:type="page"/>
      </w:r>
    </w:p>
    <w:p w14:paraId="7E919C08" w14:textId="77777777" w:rsidR="00414524" w:rsidRDefault="00E55B88">
      <w:pPr>
        <w:pStyle w:val="TOC1"/>
        <w:jc w:val="center"/>
        <w:rPr>
          <w:rFonts w:ascii="黑体" w:eastAsia="黑体" w:hAnsi="黑体"/>
          <w:color w:val="auto"/>
          <w:sz w:val="44"/>
          <w:szCs w:val="44"/>
        </w:rPr>
      </w:pPr>
      <w:r>
        <w:rPr>
          <w:rFonts w:ascii="黑体" w:eastAsia="黑体" w:hAnsi="黑体"/>
          <w:color w:val="auto"/>
          <w:sz w:val="44"/>
          <w:szCs w:val="44"/>
          <w:lang w:val="zh-CN"/>
        </w:rPr>
        <w:t>目</w:t>
      </w:r>
      <w:r>
        <w:rPr>
          <w:rFonts w:ascii="黑体" w:eastAsia="黑体" w:hAnsi="黑体" w:hint="eastAsia"/>
          <w:color w:val="auto"/>
          <w:sz w:val="44"/>
          <w:szCs w:val="44"/>
          <w:lang w:val="zh-CN"/>
        </w:rPr>
        <w:t xml:space="preserve"> </w:t>
      </w:r>
      <w:r>
        <w:rPr>
          <w:rFonts w:ascii="黑体" w:eastAsia="黑体" w:hAnsi="黑体"/>
          <w:color w:val="auto"/>
          <w:sz w:val="44"/>
          <w:szCs w:val="44"/>
          <w:lang w:val="zh-CN"/>
        </w:rPr>
        <w:t>录</w:t>
      </w:r>
    </w:p>
    <w:p w14:paraId="61515BDA" w14:textId="77777777" w:rsidR="00414524" w:rsidRDefault="00E55B88">
      <w:pPr>
        <w:pStyle w:val="10"/>
        <w:tabs>
          <w:tab w:val="clear" w:pos="8296"/>
          <w:tab w:val="right" w:leader="dot" w:pos="8306"/>
        </w:tabs>
        <w:spacing w:line="240" w:lineRule="auto"/>
        <w:rPr>
          <w:rFonts w:ascii="仿宋_GB2312" w:eastAsia="仿宋_GB2312" w:hAnsi="仿宋_GB2312" w:cs="仿宋_GB2312"/>
          <w:sz w:val="28"/>
          <w:szCs w:val="28"/>
        </w:rPr>
      </w:pPr>
      <w:r>
        <w:rPr>
          <w:rStyle w:val="a8"/>
          <w:rFonts w:hint="eastAsia"/>
          <w:color w:val="auto"/>
        </w:rPr>
        <w:fldChar w:fldCharType="begin"/>
      </w:r>
      <w:r>
        <w:rPr>
          <w:rStyle w:val="a8"/>
          <w:rFonts w:ascii="仿宋_GB2312" w:eastAsia="仿宋_GB2312" w:hAnsi="仿宋_GB2312" w:cs="仿宋_GB2312" w:hint="eastAsia"/>
          <w:color w:val="auto"/>
          <w:sz w:val="28"/>
          <w:szCs w:val="28"/>
        </w:rPr>
        <w:instrText xml:space="preserve"> TOC \o "1-3" \h \z \u </w:instrText>
      </w:r>
      <w:r>
        <w:rPr>
          <w:rStyle w:val="a8"/>
          <w:rFonts w:hint="eastAsia"/>
          <w:color w:val="auto"/>
        </w:rPr>
        <w:fldChar w:fldCharType="separate"/>
      </w:r>
      <w:hyperlink w:anchor="_Toc6178" w:history="1">
        <w:r>
          <w:rPr>
            <w:rFonts w:ascii="仿宋_GB2312" w:eastAsia="仿宋_GB2312" w:hAnsi="仿宋_GB2312" w:cs="仿宋_GB2312" w:hint="eastAsia"/>
            <w:kern w:val="0"/>
            <w:sz w:val="28"/>
            <w:szCs w:val="28"/>
          </w:rPr>
          <w:t>一、部门概述</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_Toc6178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fldChar w:fldCharType="end"/>
        </w:r>
      </w:hyperlink>
    </w:p>
    <w:p w14:paraId="28CEDB8C" w14:textId="77777777" w:rsidR="00414524" w:rsidRDefault="00E55B88">
      <w:pPr>
        <w:pStyle w:val="20"/>
        <w:tabs>
          <w:tab w:val="right" w:leader="dot" w:pos="8306"/>
        </w:tabs>
        <w:rPr>
          <w:rFonts w:ascii="仿宋_GB2312" w:eastAsia="仿宋_GB2312" w:hAnsi="仿宋_GB2312" w:cs="仿宋_GB2312"/>
          <w:sz w:val="28"/>
          <w:szCs w:val="28"/>
        </w:rPr>
      </w:pPr>
      <w:hyperlink w:anchor="_Toc20812" w:history="1">
        <w:r>
          <w:rPr>
            <w:rFonts w:ascii="仿宋_GB2312" w:eastAsia="仿宋_GB2312" w:hAnsi="仿宋_GB2312" w:cs="仿宋_GB2312" w:hint="eastAsia"/>
            <w:sz w:val="28"/>
            <w:szCs w:val="28"/>
          </w:rPr>
          <w:t>（一）机构设置及职责工作任务情况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_Toc20812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fldChar w:fldCharType="end"/>
        </w:r>
      </w:hyperlink>
    </w:p>
    <w:p w14:paraId="135E399F" w14:textId="77777777" w:rsidR="00414524" w:rsidRDefault="00E55B88">
      <w:pPr>
        <w:pStyle w:val="20"/>
        <w:tabs>
          <w:tab w:val="right" w:leader="dot" w:pos="8306"/>
        </w:tabs>
        <w:rPr>
          <w:rFonts w:ascii="仿宋_GB2312" w:eastAsia="仿宋_GB2312" w:hAnsi="仿宋_GB2312" w:cs="仿宋_GB2312"/>
          <w:sz w:val="28"/>
          <w:szCs w:val="28"/>
        </w:rPr>
      </w:pPr>
      <w:hyperlink w:anchor="_Toc15003" w:history="1">
        <w:r>
          <w:rPr>
            <w:rFonts w:ascii="仿宋_GB2312" w:eastAsia="仿宋_GB2312" w:hAnsi="仿宋_GB2312" w:cs="仿宋_GB2312" w:hint="eastAsia"/>
            <w:sz w:val="28"/>
            <w:szCs w:val="28"/>
          </w:rPr>
          <w:t>（二）部门整体绩效目标设立情况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_Toc15003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fldChar w:fldCharType="end"/>
        </w:r>
      </w:hyperlink>
    </w:p>
    <w:p w14:paraId="586240D7" w14:textId="77777777" w:rsidR="00414524" w:rsidRDefault="00E55B88">
      <w:pPr>
        <w:pStyle w:val="10"/>
        <w:tabs>
          <w:tab w:val="clear" w:pos="8296"/>
          <w:tab w:val="right" w:leader="dot" w:pos="8306"/>
        </w:tabs>
        <w:spacing w:line="240" w:lineRule="auto"/>
        <w:rPr>
          <w:rFonts w:ascii="仿宋_GB2312" w:eastAsia="仿宋_GB2312" w:hAnsi="仿宋_GB2312" w:cs="仿宋_GB2312"/>
          <w:sz w:val="28"/>
          <w:szCs w:val="28"/>
        </w:rPr>
      </w:pPr>
      <w:hyperlink w:anchor="_Toc30774" w:history="1">
        <w:r>
          <w:rPr>
            <w:rFonts w:ascii="仿宋_GB2312" w:eastAsia="仿宋_GB2312" w:hAnsi="仿宋_GB2312" w:cs="仿宋_GB2312" w:hint="eastAsia"/>
            <w:bCs/>
            <w:kern w:val="0"/>
            <w:sz w:val="28"/>
            <w:szCs w:val="28"/>
          </w:rPr>
          <w:t>二、当年预算执行情况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_Toc30774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fldChar w:fldCharType="end"/>
        </w:r>
      </w:hyperlink>
    </w:p>
    <w:p w14:paraId="662B828F" w14:textId="77777777" w:rsidR="00414524" w:rsidRDefault="00E55B88">
      <w:pPr>
        <w:pStyle w:val="20"/>
        <w:tabs>
          <w:tab w:val="right" w:leader="dot" w:pos="8306"/>
        </w:tabs>
        <w:rPr>
          <w:rFonts w:ascii="仿宋_GB2312" w:eastAsia="仿宋_GB2312" w:hAnsi="仿宋_GB2312" w:cs="仿宋_GB2312"/>
          <w:sz w:val="28"/>
          <w:szCs w:val="28"/>
        </w:rPr>
      </w:pPr>
      <w:hyperlink w:anchor="_Toc27390" w:history="1">
        <w:r>
          <w:rPr>
            <w:rFonts w:ascii="仿宋_GB2312" w:eastAsia="仿宋_GB2312" w:hAnsi="仿宋_GB2312" w:cs="仿宋_GB2312" w:hint="eastAsia"/>
            <w:sz w:val="28"/>
            <w:szCs w:val="28"/>
          </w:rPr>
          <w:t>（一）收入情况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w:instrText>
        </w:r>
        <w:r>
          <w:rPr>
            <w:rFonts w:ascii="仿宋_GB2312" w:eastAsia="仿宋_GB2312" w:hAnsi="仿宋_GB2312" w:cs="仿宋_GB2312" w:hint="eastAsia"/>
            <w:sz w:val="28"/>
            <w:szCs w:val="28"/>
          </w:rPr>
          <w:instrText xml:space="preserve">EREF _Toc27390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fldChar w:fldCharType="end"/>
        </w:r>
      </w:hyperlink>
    </w:p>
    <w:p w14:paraId="766B1753" w14:textId="77777777" w:rsidR="00414524" w:rsidRDefault="00E55B88">
      <w:pPr>
        <w:pStyle w:val="20"/>
        <w:tabs>
          <w:tab w:val="right" w:leader="dot" w:pos="8306"/>
        </w:tabs>
        <w:rPr>
          <w:rFonts w:ascii="仿宋_GB2312" w:eastAsia="仿宋_GB2312" w:hAnsi="仿宋_GB2312" w:cs="仿宋_GB2312"/>
          <w:sz w:val="28"/>
          <w:szCs w:val="28"/>
        </w:rPr>
      </w:pPr>
      <w:hyperlink w:anchor="_Toc1873" w:history="1">
        <w:r>
          <w:rPr>
            <w:rFonts w:ascii="仿宋_GB2312" w:eastAsia="仿宋_GB2312" w:hAnsi="仿宋_GB2312" w:cs="仿宋_GB2312" w:hint="eastAsia"/>
            <w:sz w:val="28"/>
            <w:szCs w:val="28"/>
          </w:rPr>
          <w:t>（二）支出情况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_Toc1873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fldChar w:fldCharType="end"/>
        </w:r>
      </w:hyperlink>
    </w:p>
    <w:p w14:paraId="7F210D32" w14:textId="77777777" w:rsidR="00414524" w:rsidRDefault="00E55B88">
      <w:pPr>
        <w:pStyle w:val="10"/>
        <w:tabs>
          <w:tab w:val="clear" w:pos="8296"/>
          <w:tab w:val="right" w:leader="dot" w:pos="8306"/>
        </w:tabs>
        <w:spacing w:line="240" w:lineRule="auto"/>
        <w:rPr>
          <w:rFonts w:ascii="仿宋_GB2312" w:eastAsia="仿宋_GB2312" w:hAnsi="仿宋_GB2312" w:cs="仿宋_GB2312"/>
          <w:sz w:val="28"/>
          <w:szCs w:val="28"/>
        </w:rPr>
      </w:pPr>
      <w:hyperlink w:anchor="_Toc11784" w:history="1">
        <w:r>
          <w:rPr>
            <w:rFonts w:ascii="仿宋_GB2312" w:eastAsia="仿宋_GB2312" w:hAnsi="仿宋_GB2312" w:cs="仿宋_GB2312" w:hint="eastAsia"/>
            <w:bCs/>
            <w:kern w:val="0"/>
            <w:sz w:val="28"/>
            <w:szCs w:val="28"/>
          </w:rPr>
          <w:t>三、整体绩效目标实现情况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w:instrText>
        </w:r>
        <w:r>
          <w:rPr>
            <w:rFonts w:ascii="仿宋_GB2312" w:eastAsia="仿宋_GB2312" w:hAnsi="仿宋_GB2312" w:cs="仿宋_GB2312" w:hint="eastAsia"/>
            <w:sz w:val="28"/>
            <w:szCs w:val="28"/>
          </w:rPr>
          <w:instrText xml:space="preserve">Toc11784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fldChar w:fldCharType="end"/>
        </w:r>
      </w:hyperlink>
    </w:p>
    <w:p w14:paraId="3D72F677" w14:textId="77777777" w:rsidR="00414524" w:rsidRDefault="00E55B88">
      <w:pPr>
        <w:pStyle w:val="20"/>
        <w:tabs>
          <w:tab w:val="right" w:leader="dot" w:pos="8306"/>
        </w:tabs>
        <w:rPr>
          <w:rFonts w:ascii="仿宋_GB2312" w:eastAsia="仿宋_GB2312" w:hAnsi="仿宋_GB2312" w:cs="仿宋_GB2312"/>
          <w:sz w:val="28"/>
          <w:szCs w:val="28"/>
        </w:rPr>
      </w:pPr>
      <w:hyperlink w:anchor="_Toc31170" w:history="1">
        <w:r>
          <w:rPr>
            <w:rFonts w:ascii="仿宋_GB2312" w:eastAsia="仿宋_GB2312" w:hAnsi="仿宋_GB2312" w:cs="仿宋_GB2312" w:hint="eastAsia"/>
            <w:sz w:val="28"/>
            <w:szCs w:val="28"/>
          </w:rPr>
          <w:t>（一）产出完成情况分析</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_Toc31170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fldChar w:fldCharType="end"/>
        </w:r>
      </w:hyperlink>
    </w:p>
    <w:p w14:paraId="00834D7C" w14:textId="77777777" w:rsidR="00414524" w:rsidRDefault="00E55B88">
      <w:pPr>
        <w:pStyle w:val="20"/>
        <w:tabs>
          <w:tab w:val="right" w:leader="dot" w:pos="8306"/>
        </w:tabs>
        <w:rPr>
          <w:rFonts w:ascii="仿宋_GB2312" w:eastAsia="仿宋_GB2312" w:hAnsi="仿宋_GB2312" w:cs="仿宋_GB2312"/>
          <w:sz w:val="28"/>
          <w:szCs w:val="28"/>
        </w:rPr>
      </w:pPr>
      <w:hyperlink w:anchor="_Toc32293" w:history="1">
        <w:r>
          <w:rPr>
            <w:rFonts w:ascii="仿宋_GB2312" w:eastAsia="仿宋_GB2312" w:hAnsi="仿宋_GB2312" w:cs="仿宋_GB2312" w:hint="eastAsia"/>
            <w:sz w:val="28"/>
            <w:szCs w:val="28"/>
          </w:rPr>
          <w:t>（二）产出成本情况分析</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_Toc32293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19</w:t>
        </w:r>
        <w:r>
          <w:rPr>
            <w:rFonts w:ascii="仿宋_GB2312" w:eastAsia="仿宋_GB2312" w:hAnsi="仿宋_GB2312" w:cs="仿宋_GB2312" w:hint="eastAsia"/>
            <w:sz w:val="28"/>
            <w:szCs w:val="28"/>
          </w:rPr>
          <w:fldChar w:fldCharType="end"/>
        </w:r>
      </w:hyperlink>
    </w:p>
    <w:p w14:paraId="339623B5" w14:textId="77777777" w:rsidR="00414524" w:rsidRDefault="00E55B88">
      <w:pPr>
        <w:pStyle w:val="20"/>
        <w:tabs>
          <w:tab w:val="right" w:leader="dot" w:pos="8306"/>
        </w:tabs>
        <w:rPr>
          <w:rFonts w:ascii="仿宋_GB2312" w:eastAsia="仿宋_GB2312" w:hAnsi="仿宋_GB2312" w:cs="仿宋_GB2312"/>
          <w:sz w:val="28"/>
          <w:szCs w:val="28"/>
        </w:rPr>
      </w:pPr>
      <w:hyperlink w:anchor="_Toc1212" w:history="1">
        <w:r>
          <w:rPr>
            <w:rFonts w:ascii="仿宋_GB2312" w:eastAsia="仿宋_GB2312" w:hAnsi="仿宋_GB2312" w:cs="仿宋_GB2312" w:hint="eastAsia"/>
            <w:sz w:val="28"/>
            <w:szCs w:val="28"/>
          </w:rPr>
          <w:t>（三）效果实现情况分析</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_Toc1212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fldChar w:fldCharType="end"/>
        </w:r>
      </w:hyperlink>
    </w:p>
    <w:p w14:paraId="276E688F" w14:textId="77777777" w:rsidR="00414524" w:rsidRDefault="00E55B88">
      <w:pPr>
        <w:pStyle w:val="10"/>
        <w:tabs>
          <w:tab w:val="clear" w:pos="8296"/>
          <w:tab w:val="right" w:leader="dot" w:pos="8306"/>
        </w:tabs>
        <w:spacing w:line="240" w:lineRule="auto"/>
        <w:rPr>
          <w:rFonts w:ascii="仿宋_GB2312" w:eastAsia="仿宋_GB2312" w:hAnsi="仿宋_GB2312" w:cs="仿宋_GB2312"/>
          <w:sz w:val="28"/>
          <w:szCs w:val="28"/>
        </w:rPr>
      </w:pPr>
      <w:hyperlink w:anchor="_Toc5734" w:history="1">
        <w:r>
          <w:rPr>
            <w:rFonts w:ascii="仿宋_GB2312" w:eastAsia="仿宋_GB2312" w:hAnsi="仿宋_GB2312" w:cs="仿宋_GB2312" w:hint="eastAsia"/>
            <w:bCs/>
            <w:kern w:val="0"/>
            <w:sz w:val="28"/>
            <w:szCs w:val="28"/>
          </w:rPr>
          <w:t>四、预算管理情况分析</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_Toc5734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24</w:t>
        </w:r>
        <w:r>
          <w:rPr>
            <w:rFonts w:ascii="仿宋_GB2312" w:eastAsia="仿宋_GB2312" w:hAnsi="仿宋_GB2312" w:cs="仿宋_GB2312" w:hint="eastAsia"/>
            <w:sz w:val="28"/>
            <w:szCs w:val="28"/>
          </w:rPr>
          <w:fldChar w:fldCharType="end"/>
        </w:r>
      </w:hyperlink>
    </w:p>
    <w:p w14:paraId="23B9127A" w14:textId="77777777" w:rsidR="00414524" w:rsidRDefault="00E55B88">
      <w:pPr>
        <w:pStyle w:val="20"/>
        <w:tabs>
          <w:tab w:val="right" w:leader="dot" w:pos="8306"/>
        </w:tabs>
        <w:rPr>
          <w:rFonts w:ascii="仿宋_GB2312" w:eastAsia="仿宋_GB2312" w:hAnsi="仿宋_GB2312" w:cs="仿宋_GB2312"/>
          <w:sz w:val="28"/>
          <w:szCs w:val="28"/>
        </w:rPr>
      </w:pPr>
      <w:hyperlink w:anchor="_Toc3850" w:history="1">
        <w:r>
          <w:rPr>
            <w:rFonts w:ascii="仿宋_GB2312" w:eastAsia="仿宋_GB2312" w:hAnsi="仿宋_GB2312" w:cs="仿宋_GB2312" w:hint="eastAsia"/>
            <w:sz w:val="28"/>
            <w:szCs w:val="28"/>
          </w:rPr>
          <w:t>（一）财务管理</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_Toc3850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24</w:t>
        </w:r>
        <w:r>
          <w:rPr>
            <w:rFonts w:ascii="仿宋_GB2312" w:eastAsia="仿宋_GB2312" w:hAnsi="仿宋_GB2312" w:cs="仿宋_GB2312" w:hint="eastAsia"/>
            <w:sz w:val="28"/>
            <w:szCs w:val="28"/>
          </w:rPr>
          <w:fldChar w:fldCharType="end"/>
        </w:r>
      </w:hyperlink>
    </w:p>
    <w:p w14:paraId="33BB9D2A" w14:textId="77777777" w:rsidR="00414524" w:rsidRDefault="00E55B88">
      <w:pPr>
        <w:pStyle w:val="20"/>
        <w:tabs>
          <w:tab w:val="right" w:leader="dot" w:pos="8306"/>
        </w:tabs>
        <w:rPr>
          <w:rFonts w:ascii="仿宋_GB2312" w:eastAsia="仿宋_GB2312" w:hAnsi="仿宋_GB2312" w:cs="仿宋_GB2312"/>
          <w:sz w:val="28"/>
          <w:szCs w:val="28"/>
        </w:rPr>
      </w:pPr>
      <w:hyperlink w:anchor="_Toc611" w:history="1">
        <w:r>
          <w:rPr>
            <w:rFonts w:ascii="仿宋_GB2312" w:eastAsia="仿宋_GB2312" w:hAnsi="仿宋_GB2312" w:cs="仿宋_GB2312" w:hint="eastAsia"/>
            <w:sz w:val="28"/>
            <w:szCs w:val="28"/>
          </w:rPr>
          <w:t>（二）资产管理</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_Toc611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25</w:t>
        </w:r>
        <w:r>
          <w:rPr>
            <w:rFonts w:ascii="仿宋_GB2312" w:eastAsia="仿宋_GB2312" w:hAnsi="仿宋_GB2312" w:cs="仿宋_GB2312" w:hint="eastAsia"/>
            <w:sz w:val="28"/>
            <w:szCs w:val="28"/>
          </w:rPr>
          <w:fldChar w:fldCharType="end"/>
        </w:r>
      </w:hyperlink>
    </w:p>
    <w:p w14:paraId="1CB21560" w14:textId="77777777" w:rsidR="00414524" w:rsidRDefault="00E55B88">
      <w:pPr>
        <w:pStyle w:val="20"/>
        <w:tabs>
          <w:tab w:val="right" w:leader="dot" w:pos="8306"/>
        </w:tabs>
        <w:rPr>
          <w:rFonts w:ascii="仿宋_GB2312" w:eastAsia="仿宋_GB2312" w:hAnsi="仿宋_GB2312" w:cs="仿宋_GB2312"/>
          <w:sz w:val="28"/>
          <w:szCs w:val="28"/>
        </w:rPr>
      </w:pPr>
      <w:hyperlink w:anchor="_Toc7675" w:history="1">
        <w:r>
          <w:rPr>
            <w:rFonts w:ascii="仿宋_GB2312" w:eastAsia="仿宋_GB2312" w:hAnsi="仿宋_GB2312" w:cs="仿宋_GB2312" w:hint="eastAsia"/>
            <w:sz w:val="28"/>
            <w:szCs w:val="28"/>
          </w:rPr>
          <w:t>（三）绩效管理</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_Toc7675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26</w:t>
        </w:r>
        <w:r>
          <w:rPr>
            <w:rFonts w:ascii="仿宋_GB2312" w:eastAsia="仿宋_GB2312" w:hAnsi="仿宋_GB2312" w:cs="仿宋_GB2312" w:hint="eastAsia"/>
            <w:sz w:val="28"/>
            <w:szCs w:val="28"/>
          </w:rPr>
          <w:fldChar w:fldCharType="end"/>
        </w:r>
      </w:hyperlink>
    </w:p>
    <w:p w14:paraId="2434F2CC" w14:textId="77777777" w:rsidR="00414524" w:rsidRDefault="00E55B88">
      <w:pPr>
        <w:pStyle w:val="20"/>
        <w:tabs>
          <w:tab w:val="right" w:leader="dot" w:pos="8306"/>
        </w:tabs>
        <w:rPr>
          <w:rFonts w:ascii="仿宋_GB2312" w:eastAsia="仿宋_GB2312" w:hAnsi="仿宋_GB2312" w:cs="仿宋_GB2312"/>
          <w:sz w:val="28"/>
          <w:szCs w:val="28"/>
        </w:rPr>
      </w:pPr>
      <w:hyperlink w:anchor="_Toc509" w:history="1">
        <w:r>
          <w:rPr>
            <w:rFonts w:ascii="仿宋_GB2312" w:eastAsia="仿宋_GB2312" w:hAnsi="仿宋_GB2312" w:cs="仿宋_GB2312" w:hint="eastAsia"/>
            <w:sz w:val="28"/>
            <w:szCs w:val="28"/>
          </w:rPr>
          <w:t>（四）结转结余率</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_Toc509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27</w:t>
        </w:r>
        <w:r>
          <w:rPr>
            <w:rFonts w:ascii="仿宋_GB2312" w:eastAsia="仿宋_GB2312" w:hAnsi="仿宋_GB2312" w:cs="仿宋_GB2312" w:hint="eastAsia"/>
            <w:sz w:val="28"/>
            <w:szCs w:val="28"/>
          </w:rPr>
          <w:fldChar w:fldCharType="end"/>
        </w:r>
      </w:hyperlink>
    </w:p>
    <w:p w14:paraId="40756623" w14:textId="77777777" w:rsidR="00414524" w:rsidRDefault="00E55B88">
      <w:pPr>
        <w:pStyle w:val="20"/>
        <w:tabs>
          <w:tab w:val="right" w:leader="dot" w:pos="8306"/>
        </w:tabs>
        <w:rPr>
          <w:rFonts w:ascii="仿宋_GB2312" w:eastAsia="仿宋_GB2312" w:hAnsi="仿宋_GB2312" w:cs="仿宋_GB2312"/>
          <w:sz w:val="28"/>
          <w:szCs w:val="28"/>
        </w:rPr>
      </w:pPr>
      <w:hyperlink w:anchor="_Toc10890" w:history="1">
        <w:r>
          <w:rPr>
            <w:rFonts w:ascii="仿宋_GB2312" w:eastAsia="仿宋_GB2312" w:hAnsi="仿宋_GB2312" w:cs="仿宋_GB2312" w:hint="eastAsia"/>
            <w:sz w:val="28"/>
            <w:szCs w:val="28"/>
          </w:rPr>
          <w:t>（五）部门预决算差异率</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_Toc10890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27</w:t>
        </w:r>
        <w:r>
          <w:rPr>
            <w:rFonts w:ascii="仿宋_GB2312" w:eastAsia="仿宋_GB2312" w:hAnsi="仿宋_GB2312" w:cs="仿宋_GB2312" w:hint="eastAsia"/>
            <w:sz w:val="28"/>
            <w:szCs w:val="28"/>
          </w:rPr>
          <w:fldChar w:fldCharType="end"/>
        </w:r>
      </w:hyperlink>
    </w:p>
    <w:p w14:paraId="327CC771" w14:textId="77777777" w:rsidR="00414524" w:rsidRDefault="00E55B88">
      <w:pPr>
        <w:pStyle w:val="10"/>
        <w:tabs>
          <w:tab w:val="clear" w:pos="8296"/>
          <w:tab w:val="right" w:leader="dot" w:pos="8306"/>
        </w:tabs>
        <w:spacing w:line="240" w:lineRule="auto"/>
        <w:rPr>
          <w:rFonts w:ascii="仿宋_GB2312" w:eastAsia="仿宋_GB2312" w:hAnsi="仿宋_GB2312" w:cs="仿宋_GB2312"/>
          <w:sz w:val="28"/>
          <w:szCs w:val="28"/>
        </w:rPr>
      </w:pPr>
      <w:hyperlink w:anchor="_Toc2136" w:history="1">
        <w:r>
          <w:rPr>
            <w:rFonts w:ascii="仿宋_GB2312" w:eastAsia="仿宋_GB2312" w:hAnsi="仿宋_GB2312" w:cs="仿宋_GB2312" w:hint="eastAsia"/>
            <w:sz w:val="28"/>
            <w:szCs w:val="28"/>
          </w:rPr>
          <w:t>五、总体评价结论</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_Toc2136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28</w:t>
        </w:r>
        <w:r>
          <w:rPr>
            <w:rFonts w:ascii="仿宋_GB2312" w:eastAsia="仿宋_GB2312" w:hAnsi="仿宋_GB2312" w:cs="仿宋_GB2312" w:hint="eastAsia"/>
            <w:sz w:val="28"/>
            <w:szCs w:val="28"/>
          </w:rPr>
          <w:fldChar w:fldCharType="end"/>
        </w:r>
      </w:hyperlink>
    </w:p>
    <w:p w14:paraId="6FD471ED" w14:textId="77777777" w:rsidR="00414524" w:rsidRDefault="00E55B88">
      <w:pPr>
        <w:pStyle w:val="20"/>
        <w:tabs>
          <w:tab w:val="right" w:leader="dot" w:pos="8306"/>
        </w:tabs>
        <w:rPr>
          <w:rFonts w:ascii="仿宋_GB2312" w:eastAsia="仿宋_GB2312" w:hAnsi="仿宋_GB2312" w:cs="仿宋_GB2312"/>
          <w:sz w:val="28"/>
          <w:szCs w:val="28"/>
        </w:rPr>
      </w:pPr>
      <w:hyperlink w:anchor="_Toc10495" w:history="1">
        <w:r>
          <w:rPr>
            <w:rFonts w:ascii="仿宋_GB2312" w:eastAsia="仿宋_GB2312" w:hAnsi="仿宋_GB2312" w:cs="仿宋_GB2312" w:hint="eastAsia"/>
            <w:sz w:val="28"/>
            <w:szCs w:val="28"/>
          </w:rPr>
          <w:t>（一）评价得分情况</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_Toc10495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28</w:t>
        </w:r>
        <w:r>
          <w:rPr>
            <w:rFonts w:ascii="仿宋_GB2312" w:eastAsia="仿宋_GB2312" w:hAnsi="仿宋_GB2312" w:cs="仿宋_GB2312" w:hint="eastAsia"/>
            <w:sz w:val="28"/>
            <w:szCs w:val="28"/>
          </w:rPr>
          <w:fldChar w:fldCharType="end"/>
        </w:r>
      </w:hyperlink>
    </w:p>
    <w:p w14:paraId="0512BAA8" w14:textId="77777777" w:rsidR="00414524" w:rsidRDefault="00E55B88">
      <w:pPr>
        <w:pStyle w:val="20"/>
        <w:tabs>
          <w:tab w:val="right" w:leader="dot" w:pos="8306"/>
        </w:tabs>
        <w:rPr>
          <w:rFonts w:ascii="仿宋_GB2312" w:eastAsia="仿宋_GB2312" w:hAnsi="仿宋_GB2312" w:cs="仿宋_GB2312"/>
          <w:sz w:val="28"/>
          <w:szCs w:val="28"/>
        </w:rPr>
      </w:pPr>
      <w:hyperlink w:anchor="_Toc6025" w:history="1">
        <w:r>
          <w:rPr>
            <w:rFonts w:ascii="仿宋_GB2312" w:eastAsia="仿宋_GB2312" w:hAnsi="仿宋_GB2312" w:cs="仿宋_GB2312" w:hint="eastAsia"/>
            <w:sz w:val="28"/>
            <w:szCs w:val="28"/>
          </w:rPr>
          <w:t>（二）存在的问题及原因分析</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_Toc6025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29</w:t>
        </w:r>
        <w:r>
          <w:rPr>
            <w:rFonts w:ascii="仿宋_GB2312" w:eastAsia="仿宋_GB2312" w:hAnsi="仿宋_GB2312" w:cs="仿宋_GB2312" w:hint="eastAsia"/>
            <w:sz w:val="28"/>
            <w:szCs w:val="28"/>
          </w:rPr>
          <w:fldChar w:fldCharType="end"/>
        </w:r>
      </w:hyperlink>
    </w:p>
    <w:p w14:paraId="10BA422F" w14:textId="77777777" w:rsidR="00414524" w:rsidRDefault="00E55B88">
      <w:pPr>
        <w:pStyle w:val="10"/>
        <w:tabs>
          <w:tab w:val="clear" w:pos="8296"/>
          <w:tab w:val="right" w:leader="dot" w:pos="8306"/>
        </w:tabs>
        <w:spacing w:line="240" w:lineRule="auto"/>
      </w:pPr>
      <w:hyperlink w:anchor="_Toc7769" w:history="1">
        <w:r>
          <w:rPr>
            <w:rFonts w:ascii="仿宋_GB2312" w:eastAsia="仿宋_GB2312" w:hAnsi="仿宋_GB2312" w:cs="仿宋_GB2312" w:hint="eastAsia"/>
            <w:kern w:val="0"/>
            <w:sz w:val="28"/>
            <w:szCs w:val="28"/>
          </w:rPr>
          <w:t>六、措施建议</w:t>
        </w:r>
        <w:r>
          <w:rPr>
            <w:rFonts w:ascii="仿宋_GB2312" w:eastAsia="仿宋_GB2312" w:hAnsi="仿宋_GB2312" w:cs="仿宋_GB2312" w:hint="eastAsia"/>
            <w:sz w:val="28"/>
            <w:szCs w:val="28"/>
          </w:rPr>
          <w:tab/>
        </w: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PAGEREF _Toc7769 \h </w:instrText>
        </w: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29</w:t>
        </w:r>
        <w:r>
          <w:rPr>
            <w:rFonts w:ascii="仿宋_GB2312" w:eastAsia="仿宋_GB2312" w:hAnsi="仿宋_GB2312" w:cs="仿宋_GB2312" w:hint="eastAsia"/>
            <w:sz w:val="28"/>
            <w:szCs w:val="28"/>
          </w:rPr>
          <w:fldChar w:fldCharType="end"/>
        </w:r>
      </w:hyperlink>
    </w:p>
    <w:p w14:paraId="6BCC839F" w14:textId="77777777" w:rsidR="00414524" w:rsidRDefault="00E55B88">
      <w:pPr>
        <w:pStyle w:val="10"/>
        <w:tabs>
          <w:tab w:val="clear" w:pos="8296"/>
          <w:tab w:val="right" w:leader="dot" w:pos="8306"/>
        </w:tabs>
        <w:rPr>
          <w:rFonts w:ascii="黑体" w:eastAsia="黑体" w:hAnsi="黑体"/>
          <w:sz w:val="36"/>
          <w:szCs w:val="36"/>
        </w:rPr>
        <w:sectPr w:rsidR="00414524">
          <w:footerReference w:type="default" r:id="rId8"/>
          <w:pgSz w:w="11906" w:h="16838"/>
          <w:pgMar w:top="1440" w:right="1800" w:bottom="1440" w:left="1800" w:header="851" w:footer="992" w:gutter="0"/>
          <w:cols w:space="425"/>
          <w:docGrid w:type="lines" w:linePitch="312"/>
        </w:sectPr>
      </w:pPr>
      <w:r>
        <w:rPr>
          <w:rFonts w:ascii="仿宋_GB2312" w:eastAsia="仿宋_GB2312" w:hAnsi="仿宋_GB2312" w:cs="仿宋_GB2312" w:hint="eastAsia"/>
          <w:szCs w:val="28"/>
          <w:lang w:val="zh-CN"/>
        </w:rPr>
        <w:fldChar w:fldCharType="end"/>
      </w:r>
    </w:p>
    <w:p w14:paraId="69BCA483" w14:textId="77777777" w:rsidR="00414524" w:rsidRDefault="00E55B88">
      <w:pPr>
        <w:spacing w:line="56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北京市社会福利事务管理中心</w:t>
      </w:r>
    </w:p>
    <w:p w14:paraId="1E52BA6F" w14:textId="77777777" w:rsidR="00414524" w:rsidRDefault="00E55B88">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部门整体绩效评价报告</w:t>
      </w:r>
    </w:p>
    <w:p w14:paraId="524B7D3A" w14:textId="77777777" w:rsidR="00414524" w:rsidRDefault="00414524">
      <w:pPr>
        <w:jc w:val="center"/>
        <w:rPr>
          <w:rFonts w:ascii="黑体" w:eastAsia="黑体" w:hAnsi="黑体"/>
          <w:sz w:val="36"/>
          <w:szCs w:val="36"/>
        </w:rPr>
      </w:pPr>
    </w:p>
    <w:p w14:paraId="031DEC63" w14:textId="77777777" w:rsidR="00414524" w:rsidRDefault="00E55B88">
      <w:pPr>
        <w:spacing w:line="600" w:lineRule="exact"/>
        <w:ind w:firstLineChars="200" w:firstLine="640"/>
        <w:outlineLvl w:val="0"/>
        <w:rPr>
          <w:rFonts w:ascii="黑体" w:eastAsia="黑体" w:hAnsi="黑体" w:cs="宋体"/>
          <w:color w:val="000000"/>
          <w:kern w:val="0"/>
          <w:sz w:val="32"/>
          <w:szCs w:val="32"/>
        </w:rPr>
      </w:pPr>
      <w:bookmarkStart w:id="1" w:name="_Toc392770087"/>
      <w:bookmarkStart w:id="2" w:name="_Toc6178"/>
      <w:r>
        <w:rPr>
          <w:rFonts w:ascii="黑体" w:eastAsia="黑体" w:hAnsi="黑体" w:cs="宋体" w:hint="eastAsia"/>
          <w:color w:val="000000"/>
          <w:kern w:val="0"/>
          <w:sz w:val="32"/>
          <w:szCs w:val="32"/>
        </w:rPr>
        <w:t>一、部门概述</w:t>
      </w:r>
      <w:bookmarkEnd w:id="1"/>
      <w:bookmarkEnd w:id="2"/>
    </w:p>
    <w:p w14:paraId="63AB8733" w14:textId="77777777" w:rsidR="00414524" w:rsidRDefault="00E55B88">
      <w:pPr>
        <w:spacing w:line="600" w:lineRule="exact"/>
        <w:ind w:firstLineChars="200" w:firstLine="640"/>
        <w:outlineLvl w:val="1"/>
        <w:rPr>
          <w:rFonts w:ascii="楷体_GB2312" w:eastAsia="楷体_GB2312"/>
          <w:sz w:val="32"/>
          <w:szCs w:val="32"/>
        </w:rPr>
      </w:pPr>
      <w:bookmarkStart w:id="3" w:name="_Toc20812"/>
      <w:bookmarkStart w:id="4" w:name="_Toc392770088"/>
      <w:r>
        <w:rPr>
          <w:rFonts w:ascii="楷体_GB2312" w:eastAsia="楷体_GB2312" w:hint="eastAsia"/>
          <w:sz w:val="32"/>
          <w:szCs w:val="32"/>
        </w:rPr>
        <w:t>（一）机构设置及职责工作任务情况</w:t>
      </w:r>
      <w:bookmarkEnd w:id="3"/>
    </w:p>
    <w:p w14:paraId="64BF4D31" w14:textId="77777777" w:rsidR="00414524" w:rsidRDefault="00E55B88">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机构设置</w:t>
      </w:r>
    </w:p>
    <w:p w14:paraId="130CD74D" w14:textId="77777777" w:rsidR="00414524" w:rsidRDefault="00E55B88">
      <w:pPr>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根据北京市第九届市委常委第</w:t>
      </w:r>
      <w:r>
        <w:rPr>
          <w:rFonts w:ascii="仿宋_GB2312" w:eastAsia="仿宋_GB2312" w:hAnsi="仿宋_GB2312" w:cs="仿宋_GB2312" w:hint="eastAsia"/>
          <w:color w:val="000000"/>
          <w:sz w:val="32"/>
          <w:szCs w:val="32"/>
        </w:rPr>
        <w:t>172</w:t>
      </w:r>
      <w:r>
        <w:rPr>
          <w:rFonts w:ascii="仿宋_GB2312" w:eastAsia="仿宋_GB2312" w:hAnsi="仿宋_GB2312" w:cs="仿宋_GB2312" w:hint="eastAsia"/>
          <w:color w:val="000000"/>
          <w:sz w:val="32"/>
          <w:szCs w:val="32"/>
        </w:rPr>
        <w:t>次会议关于北京市民政事业管理体制改革试点工作的会议精神和《北京市机构编制委员会关于成立北京市社会福利事务管理中心的通知》（京编委〔</w:t>
      </w:r>
      <w:r>
        <w:rPr>
          <w:rFonts w:ascii="仿宋_GB2312" w:eastAsia="仿宋_GB2312" w:hAnsi="仿宋_GB2312" w:cs="仿宋_GB2312" w:hint="eastAsia"/>
          <w:color w:val="000000"/>
          <w:sz w:val="32"/>
          <w:szCs w:val="32"/>
        </w:rPr>
        <w:t>2006</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38</w:t>
      </w:r>
      <w:r>
        <w:rPr>
          <w:rFonts w:ascii="仿宋_GB2312" w:eastAsia="仿宋_GB2312" w:hAnsi="仿宋_GB2312" w:cs="仿宋_GB2312" w:hint="eastAsia"/>
          <w:color w:val="000000"/>
          <w:sz w:val="32"/>
          <w:szCs w:val="32"/>
        </w:rPr>
        <w:t>号）设立北京市社会福利事务管理中心（以下简称“市福利中心”），为副局级公益一类事业单位。</w:t>
      </w:r>
    </w:p>
    <w:p w14:paraId="2200BCB0" w14:textId="5D7F523F" w:rsidR="00414524" w:rsidRDefault="00E55B88">
      <w:pPr>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市福利中心</w:t>
      </w:r>
      <w:r w:rsidR="005625F6">
        <w:rPr>
          <w:rFonts w:ascii="仿宋_GB2312" w:eastAsia="仿宋_GB2312" w:hAnsi="仿宋_GB2312" w:cs="仿宋_GB2312" w:hint="eastAsia"/>
          <w:color w:val="000000"/>
          <w:sz w:val="32"/>
          <w:szCs w:val="32"/>
        </w:rPr>
        <w:t>含本级</w:t>
      </w:r>
      <w:r w:rsidR="005625F6">
        <w:rPr>
          <w:rFonts w:ascii="仿宋_GB2312" w:eastAsia="仿宋_GB2312" w:hAnsi="仿宋_GB2312" w:cs="仿宋_GB2312"/>
          <w:color w:val="000000"/>
          <w:sz w:val="32"/>
          <w:szCs w:val="32"/>
        </w:rPr>
        <w:t>及</w:t>
      </w:r>
      <w:r>
        <w:rPr>
          <w:rFonts w:ascii="仿宋_GB2312" w:eastAsia="仿宋_GB2312" w:hAnsi="仿宋_GB2312" w:cs="仿宋_GB2312" w:hint="eastAsia"/>
          <w:color w:val="000000"/>
          <w:sz w:val="32"/>
          <w:szCs w:val="32"/>
        </w:rPr>
        <w:t>下属</w:t>
      </w:r>
      <w:r>
        <w:rPr>
          <w:rFonts w:ascii="仿宋_GB2312" w:eastAsia="仿宋_GB2312" w:hAnsi="仿宋_GB2312" w:cs="仿宋_GB2312"/>
          <w:color w:val="000000"/>
          <w:sz w:val="32"/>
          <w:szCs w:val="32"/>
        </w:rPr>
        <w:t>16</w:t>
      </w:r>
      <w:r>
        <w:rPr>
          <w:rFonts w:ascii="仿宋_GB2312" w:eastAsia="仿宋_GB2312" w:hAnsi="仿宋_GB2312" w:cs="仿宋_GB2312" w:hint="eastAsia"/>
          <w:color w:val="000000"/>
          <w:sz w:val="32"/>
          <w:szCs w:val="32"/>
        </w:rPr>
        <w:t>个预算单位</w:t>
      </w:r>
      <w:r>
        <w:rPr>
          <w:rFonts w:ascii="仿宋_GB2312" w:eastAsia="仿宋_GB2312" w:hAnsi="仿宋_GB2312" w:cs="仿宋_GB2312" w:hint="eastAsia"/>
          <w:color w:val="000000"/>
          <w:sz w:val="32"/>
          <w:szCs w:val="32"/>
        </w:rPr>
        <w:t>，分别为：北京市第一社会福利院、北京市第二社会福利院、北京市第三社会福利院、北京市第四社会福利院、北京市儿童福利院、北京市第二儿童福利院、北京市社会福利医院、北京市民政工业总公司、北京</w:t>
      </w:r>
      <w:r>
        <w:rPr>
          <w:rFonts w:ascii="仿宋_GB2312" w:eastAsia="仿宋_GB2312" w:hAnsi="仿宋_GB2312" w:cs="仿宋_GB2312" w:hint="eastAsia"/>
          <w:color w:val="000000"/>
          <w:sz w:val="32"/>
          <w:szCs w:val="32"/>
        </w:rPr>
        <w:t>SOS</w:t>
      </w:r>
      <w:r>
        <w:rPr>
          <w:rFonts w:ascii="仿宋_GB2312" w:eastAsia="仿宋_GB2312" w:hAnsi="仿宋_GB2312" w:cs="仿宋_GB2312" w:hint="eastAsia"/>
          <w:color w:val="000000"/>
          <w:sz w:val="32"/>
          <w:szCs w:val="32"/>
        </w:rPr>
        <w:t>儿童村、北京市养老护理照料示范中心、北京市康复辅具技术中心、北京市八宝山革命公墓、北京市八宝山殡仪馆、北京市东郊殡仪馆、北京市万安公墓、北京市殡葬服务中心。</w:t>
      </w:r>
    </w:p>
    <w:p w14:paraId="6A610FD1" w14:textId="77777777" w:rsidR="00414524" w:rsidRDefault="00E55B88">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部门职责</w:t>
      </w:r>
      <w:bookmarkEnd w:id="4"/>
    </w:p>
    <w:p w14:paraId="125F2821"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 w:hint="eastAsia"/>
          <w:sz w:val="32"/>
          <w:szCs w:val="32"/>
        </w:rPr>
        <w:t>市福利中心于</w:t>
      </w:r>
      <w:r>
        <w:rPr>
          <w:rFonts w:ascii="仿宋_GB2312" w:eastAsia="仿宋_GB2312" w:hAnsi="仿宋" w:hint="eastAsia"/>
          <w:sz w:val="32"/>
          <w:szCs w:val="32"/>
        </w:rPr>
        <w:t>2006</w:t>
      </w:r>
      <w:r>
        <w:rPr>
          <w:rFonts w:ascii="仿宋_GB2312" w:eastAsia="仿宋_GB2312" w:hAnsi="仿宋" w:hint="eastAsia"/>
          <w:sz w:val="32"/>
          <w:szCs w:val="32"/>
        </w:rPr>
        <w:t>年正式成立，主要负责对从市民政局划入的社会福利企业、事业单位的人、财、物等内部事务的管理以及存量资源的整合和增量资源的调整等工作</w:t>
      </w:r>
      <w:r>
        <w:rPr>
          <w:rFonts w:ascii="仿宋_GB2312" w:eastAsia="仿宋_GB2312" w:hAnsi="仿宋" w:hint="eastAsia"/>
          <w:sz w:val="32"/>
          <w:szCs w:val="32"/>
        </w:rPr>
        <w:t>;</w:t>
      </w:r>
      <w:r>
        <w:rPr>
          <w:rFonts w:ascii="仿宋_GB2312" w:eastAsia="仿宋_GB2312" w:hAnsi="仿宋" w:hint="eastAsia"/>
          <w:sz w:val="32"/>
          <w:szCs w:val="32"/>
        </w:rPr>
        <w:t>推动</w:t>
      </w:r>
      <w:r>
        <w:rPr>
          <w:rFonts w:ascii="仿宋_GB2312" w:eastAsia="仿宋_GB2312" w:hAnsi="仿宋" w:hint="eastAsia"/>
          <w:sz w:val="32"/>
          <w:szCs w:val="32"/>
        </w:rPr>
        <w:lastRenderedPageBreak/>
        <w:t>社会福利企业、事业单位在管理方式、管理制度、运行机制等方面的改革创新，并监督有关工作的实施；受市民政局委托，承办市政府和市有关部门交办的其他事项</w:t>
      </w:r>
      <w:r>
        <w:rPr>
          <w:rFonts w:ascii="仿宋_GB2312" w:eastAsia="仿宋_GB2312" w:hAnsi="仿宋_GB2312" w:cs="仿宋_GB2312" w:hint="eastAsia"/>
          <w:color w:val="000000"/>
          <w:sz w:val="32"/>
          <w:szCs w:val="32"/>
        </w:rPr>
        <w:t>。</w:t>
      </w:r>
    </w:p>
    <w:p w14:paraId="5914C8CE" w14:textId="77777777" w:rsidR="00414524" w:rsidRDefault="00E55B88">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3.2024</w:t>
      </w:r>
      <w:r>
        <w:rPr>
          <w:rFonts w:ascii="仿宋_GB2312" w:eastAsia="仿宋_GB2312" w:hAnsi="仿宋" w:hint="eastAsia"/>
          <w:sz w:val="32"/>
          <w:szCs w:val="32"/>
        </w:rPr>
        <w:t>年度主要工作任务</w:t>
      </w:r>
    </w:p>
    <w:p w14:paraId="37DC3B56"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市福利中心坚持以习近平新时代中国特色社会主义思想和党的二十大精神为指导，全面落实市委、市政府和市民政局各项决策部署要求，扎实开展党纪学习教育，深化重点领域改革，提升服务保障水平，统筹发展和安全，全力推进市属社会福利事业高质量发展，切实增强了服务对象获得感幸福感安全感。</w:t>
      </w:r>
    </w:p>
    <w:p w14:paraId="0EB9D6B6" w14:textId="77777777" w:rsidR="00414524" w:rsidRDefault="00E55B88">
      <w:pPr>
        <w:spacing w:line="600" w:lineRule="exact"/>
        <w:ind w:firstLineChars="200" w:firstLine="640"/>
        <w:outlineLvl w:val="1"/>
        <w:rPr>
          <w:rFonts w:ascii="楷体_GB2312" w:eastAsia="楷体_GB2312"/>
          <w:sz w:val="32"/>
          <w:szCs w:val="32"/>
        </w:rPr>
      </w:pPr>
      <w:bookmarkStart w:id="5" w:name="_Toc15003"/>
      <w:r>
        <w:rPr>
          <w:rFonts w:ascii="楷体_GB2312" w:eastAsia="楷体_GB2312" w:hint="eastAsia"/>
          <w:sz w:val="32"/>
          <w:szCs w:val="32"/>
        </w:rPr>
        <w:t>（二）部门整体绩效目标设立情况</w:t>
      </w:r>
      <w:bookmarkEnd w:id="5"/>
    </w:p>
    <w:p w14:paraId="0B18B2B2"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习近平新时代中国特色社会主义思想为指导，以习近平总书记对民政工作的重要指示、重要论述为根本遵循，全面落实市委、市政府和民政局的决策部署，坚持以推动事业高质量发展为目标，坚持党建引领，深化改革创新，强化安全稳定，持续抓基层、强基础、固基本，全方位提升为民服务能力。</w:t>
      </w:r>
    </w:p>
    <w:p w14:paraId="05199F06"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年度市福利中心部门整体绩效指标包括：</w:t>
      </w:r>
    </w:p>
    <w:p w14:paraId="2DAB8F05"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保障单位日常运转，严格执行预算；</w:t>
      </w:r>
    </w:p>
    <w:p w14:paraId="669BBF5F"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保障机构内政府供养保障对象生活，提升福利机构服务保障能力，持续做好养老机构服务保障工作；</w:t>
      </w:r>
    </w:p>
    <w:p w14:paraId="01618216"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保障市属殡葬单位清明节工作顺利进行、爱国主义基地正常运转等；</w:t>
      </w:r>
    </w:p>
    <w:p w14:paraId="57C46D91"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保障市直属福利企业困难残疾职工困难群体基本生活。</w:t>
      </w:r>
    </w:p>
    <w:p w14:paraId="4471A6D9" w14:textId="77777777" w:rsidR="00414524" w:rsidRDefault="00E55B88">
      <w:pPr>
        <w:spacing w:line="600" w:lineRule="exact"/>
        <w:ind w:firstLineChars="200" w:firstLine="640"/>
        <w:outlineLvl w:val="0"/>
        <w:rPr>
          <w:rFonts w:ascii="黑体" w:eastAsia="黑体" w:hAnsi="黑体" w:cs="宋体"/>
          <w:bCs/>
          <w:kern w:val="0"/>
          <w:sz w:val="32"/>
          <w:szCs w:val="32"/>
        </w:rPr>
      </w:pPr>
      <w:bookmarkStart w:id="6" w:name="_Toc30774"/>
      <w:r>
        <w:rPr>
          <w:rFonts w:ascii="黑体" w:eastAsia="黑体" w:hAnsi="黑体" w:cs="宋体" w:hint="eastAsia"/>
          <w:bCs/>
          <w:kern w:val="0"/>
          <w:sz w:val="32"/>
          <w:szCs w:val="32"/>
        </w:rPr>
        <w:t>二、当年预算执行情况</w:t>
      </w:r>
      <w:bookmarkEnd w:id="6"/>
    </w:p>
    <w:p w14:paraId="4408BD26" w14:textId="77777777" w:rsidR="00414524" w:rsidRDefault="00E55B88">
      <w:pPr>
        <w:spacing w:line="600" w:lineRule="exact"/>
        <w:ind w:firstLineChars="200" w:firstLine="640"/>
        <w:outlineLvl w:val="1"/>
        <w:rPr>
          <w:rFonts w:ascii="楷体_GB2312" w:eastAsia="楷体_GB2312"/>
          <w:sz w:val="32"/>
          <w:szCs w:val="32"/>
        </w:rPr>
      </w:pPr>
      <w:bookmarkStart w:id="7" w:name="_Toc27390"/>
      <w:r>
        <w:rPr>
          <w:rFonts w:ascii="楷体_GB2312" w:eastAsia="楷体_GB2312" w:hint="eastAsia"/>
          <w:sz w:val="32"/>
          <w:szCs w:val="32"/>
        </w:rPr>
        <w:t>（一）收入情况</w:t>
      </w:r>
      <w:bookmarkEnd w:id="7"/>
    </w:p>
    <w:p w14:paraId="763D4929" w14:textId="77777777" w:rsidR="00414524" w:rsidRDefault="00E55B88">
      <w:pPr>
        <w:spacing w:line="600" w:lineRule="exact"/>
        <w:ind w:firstLineChars="200" w:firstLine="640"/>
        <w:rPr>
          <w:rFonts w:ascii="仿宋_GB2312" w:eastAsia="仿宋_GB2312" w:hAnsi="仿宋"/>
          <w:sz w:val="32"/>
          <w:szCs w:val="32"/>
          <w:highlight w:val="yellow"/>
        </w:rPr>
      </w:pPr>
      <w:r>
        <w:rPr>
          <w:rFonts w:ascii="仿宋_GB2312" w:eastAsia="仿宋_GB2312" w:hAnsi="仿宋_GB2312" w:cs="仿宋_GB2312" w:hint="eastAsia"/>
          <w:sz w:val="32"/>
          <w:szCs w:val="32"/>
        </w:rPr>
        <w:t>市福利中心</w:t>
      </w:r>
      <w:r>
        <w:rPr>
          <w:rFonts w:ascii="仿宋_GB2312" w:eastAsia="仿宋_GB2312" w:hAnsi="仿宋" w:hint="eastAsia"/>
          <w:sz w:val="32"/>
          <w:szCs w:val="32"/>
        </w:rPr>
        <w:t>2024</w:t>
      </w:r>
      <w:r>
        <w:rPr>
          <w:rFonts w:ascii="仿宋_GB2312" w:eastAsia="仿宋_GB2312" w:hAnsi="仿宋" w:hint="eastAsia"/>
          <w:sz w:val="32"/>
          <w:szCs w:val="32"/>
        </w:rPr>
        <w:t>年总收入</w:t>
      </w:r>
      <w:r>
        <w:rPr>
          <w:rFonts w:ascii="仿宋_GB2312" w:eastAsia="仿宋_GB2312" w:hAnsi="仿宋" w:hint="eastAsia"/>
          <w:sz w:val="32"/>
          <w:szCs w:val="32"/>
        </w:rPr>
        <w:t>151262.44</w:t>
      </w:r>
      <w:r>
        <w:rPr>
          <w:rFonts w:ascii="仿宋_GB2312" w:eastAsia="仿宋_GB2312" w:hAnsi="仿宋" w:hint="eastAsia"/>
          <w:sz w:val="32"/>
          <w:szCs w:val="32"/>
        </w:rPr>
        <w:t>万元，其中：一般公共预算财政拨款收入</w:t>
      </w:r>
      <w:r>
        <w:rPr>
          <w:rFonts w:ascii="仿宋_GB2312" w:eastAsia="仿宋_GB2312" w:hAnsi="仿宋" w:hint="eastAsia"/>
          <w:sz w:val="32"/>
          <w:szCs w:val="32"/>
        </w:rPr>
        <w:t>79976.41</w:t>
      </w:r>
      <w:r>
        <w:rPr>
          <w:rFonts w:ascii="仿宋_GB2312" w:eastAsia="仿宋_GB2312" w:hAnsi="仿宋" w:hint="eastAsia"/>
          <w:sz w:val="32"/>
          <w:szCs w:val="32"/>
        </w:rPr>
        <w:t>万元，占</w:t>
      </w:r>
      <w:r>
        <w:rPr>
          <w:rFonts w:ascii="仿宋_GB2312" w:eastAsia="仿宋_GB2312" w:hAnsi="仿宋" w:hint="eastAsia"/>
          <w:sz w:val="32"/>
          <w:szCs w:val="32"/>
        </w:rPr>
        <w:t>52.87%</w:t>
      </w:r>
      <w:r>
        <w:rPr>
          <w:rFonts w:ascii="仿宋_GB2312" w:eastAsia="仿宋_GB2312" w:hAnsi="仿宋" w:hint="eastAsia"/>
          <w:sz w:val="32"/>
          <w:szCs w:val="32"/>
        </w:rPr>
        <w:t>；政府性基金预算财政拨款收入</w:t>
      </w:r>
      <w:r>
        <w:rPr>
          <w:rFonts w:ascii="仿宋_GB2312" w:eastAsia="仿宋_GB2312" w:hAnsi="仿宋" w:hint="eastAsia"/>
          <w:sz w:val="32"/>
          <w:szCs w:val="32"/>
        </w:rPr>
        <w:t>6044.50</w:t>
      </w:r>
      <w:r>
        <w:rPr>
          <w:rFonts w:ascii="仿宋_GB2312" w:eastAsia="仿宋_GB2312" w:hAnsi="仿宋" w:hint="eastAsia"/>
          <w:sz w:val="32"/>
          <w:szCs w:val="32"/>
        </w:rPr>
        <w:t>万元，占</w:t>
      </w:r>
      <w:r>
        <w:rPr>
          <w:rFonts w:ascii="仿宋_GB2312" w:eastAsia="仿宋_GB2312" w:hAnsi="仿宋" w:hint="eastAsia"/>
          <w:sz w:val="32"/>
          <w:szCs w:val="32"/>
        </w:rPr>
        <w:t>4.00%</w:t>
      </w:r>
      <w:r>
        <w:rPr>
          <w:rFonts w:ascii="仿宋_GB2312" w:eastAsia="仿宋_GB2312" w:hAnsi="仿宋" w:hint="eastAsia"/>
          <w:sz w:val="32"/>
          <w:szCs w:val="32"/>
        </w:rPr>
        <w:t>；事业收入</w:t>
      </w:r>
      <w:r>
        <w:rPr>
          <w:rFonts w:ascii="仿宋_GB2312" w:eastAsia="仿宋_GB2312" w:hAnsi="仿宋" w:hint="eastAsia"/>
          <w:sz w:val="32"/>
          <w:szCs w:val="32"/>
        </w:rPr>
        <w:t>13052.94</w:t>
      </w:r>
      <w:r>
        <w:rPr>
          <w:rFonts w:ascii="仿宋_GB2312" w:eastAsia="仿宋_GB2312" w:hAnsi="仿宋" w:hint="eastAsia"/>
          <w:sz w:val="32"/>
          <w:szCs w:val="32"/>
        </w:rPr>
        <w:t>万元，占</w:t>
      </w:r>
      <w:r>
        <w:rPr>
          <w:rFonts w:ascii="仿宋_GB2312" w:eastAsia="仿宋_GB2312" w:hAnsi="仿宋" w:hint="eastAsia"/>
          <w:sz w:val="32"/>
          <w:szCs w:val="32"/>
        </w:rPr>
        <w:t>8.63%</w:t>
      </w:r>
      <w:r>
        <w:rPr>
          <w:rFonts w:ascii="仿宋_GB2312" w:eastAsia="仿宋_GB2312" w:hAnsi="仿宋" w:hint="eastAsia"/>
          <w:sz w:val="32"/>
          <w:szCs w:val="32"/>
        </w:rPr>
        <w:t>；经营收入</w:t>
      </w:r>
      <w:r>
        <w:rPr>
          <w:rFonts w:ascii="仿宋_GB2312" w:eastAsia="仿宋_GB2312" w:hAnsi="仿宋" w:hint="eastAsia"/>
          <w:sz w:val="32"/>
          <w:szCs w:val="32"/>
        </w:rPr>
        <w:t>39078.11</w:t>
      </w:r>
      <w:r>
        <w:rPr>
          <w:rFonts w:ascii="仿宋_GB2312" w:eastAsia="仿宋_GB2312" w:hAnsi="仿宋" w:hint="eastAsia"/>
          <w:sz w:val="32"/>
          <w:szCs w:val="32"/>
        </w:rPr>
        <w:t>万元，占</w:t>
      </w:r>
      <w:r>
        <w:rPr>
          <w:rFonts w:ascii="仿宋_GB2312" w:eastAsia="仿宋_GB2312" w:hAnsi="仿宋" w:hint="eastAsia"/>
          <w:sz w:val="32"/>
          <w:szCs w:val="32"/>
        </w:rPr>
        <w:t>25.83%</w:t>
      </w:r>
      <w:r>
        <w:rPr>
          <w:rFonts w:ascii="仿宋_GB2312" w:eastAsia="仿宋_GB2312" w:hAnsi="仿宋" w:hint="eastAsia"/>
          <w:sz w:val="32"/>
          <w:szCs w:val="32"/>
        </w:rPr>
        <w:t>；附属单位上缴收入</w:t>
      </w:r>
      <w:r>
        <w:rPr>
          <w:rFonts w:ascii="仿宋_GB2312" w:eastAsia="仿宋_GB2312" w:hAnsi="仿宋" w:hint="eastAsia"/>
          <w:sz w:val="32"/>
          <w:szCs w:val="32"/>
        </w:rPr>
        <w:t>9112.00</w:t>
      </w:r>
      <w:r>
        <w:rPr>
          <w:rFonts w:ascii="仿宋_GB2312" w:eastAsia="仿宋_GB2312" w:hAnsi="仿宋" w:hint="eastAsia"/>
          <w:sz w:val="32"/>
          <w:szCs w:val="32"/>
        </w:rPr>
        <w:t>万元，占</w:t>
      </w:r>
      <w:r>
        <w:rPr>
          <w:rFonts w:ascii="仿宋_GB2312" w:eastAsia="仿宋_GB2312" w:hAnsi="仿宋" w:hint="eastAsia"/>
          <w:sz w:val="32"/>
          <w:szCs w:val="32"/>
        </w:rPr>
        <w:t>6.02%</w:t>
      </w:r>
      <w:r>
        <w:rPr>
          <w:rFonts w:ascii="仿宋_GB2312" w:eastAsia="仿宋_GB2312" w:hAnsi="仿宋" w:hint="eastAsia"/>
          <w:sz w:val="32"/>
          <w:szCs w:val="32"/>
        </w:rPr>
        <w:t>；其他收入</w:t>
      </w:r>
      <w:r>
        <w:rPr>
          <w:rFonts w:ascii="仿宋_GB2312" w:eastAsia="仿宋_GB2312" w:hAnsi="仿宋" w:hint="eastAsia"/>
          <w:sz w:val="32"/>
          <w:szCs w:val="32"/>
        </w:rPr>
        <w:t>3998.47</w:t>
      </w:r>
      <w:r>
        <w:rPr>
          <w:rFonts w:ascii="仿宋_GB2312" w:eastAsia="仿宋_GB2312" w:hAnsi="仿宋" w:hint="eastAsia"/>
          <w:sz w:val="32"/>
          <w:szCs w:val="32"/>
        </w:rPr>
        <w:t>万元，占</w:t>
      </w:r>
      <w:r>
        <w:rPr>
          <w:rFonts w:ascii="仿宋_GB2312" w:eastAsia="仿宋_GB2312" w:hAnsi="仿宋" w:hint="eastAsia"/>
          <w:sz w:val="32"/>
          <w:szCs w:val="32"/>
        </w:rPr>
        <w:t>2.64%</w:t>
      </w:r>
      <w:r>
        <w:rPr>
          <w:rFonts w:ascii="仿宋_GB2312" w:eastAsia="仿宋_GB2312" w:hAnsi="仿宋" w:hint="eastAsia"/>
          <w:sz w:val="32"/>
          <w:szCs w:val="32"/>
        </w:rPr>
        <w:t>。</w:t>
      </w:r>
    </w:p>
    <w:p w14:paraId="7B35661D" w14:textId="77777777" w:rsidR="00414524" w:rsidRDefault="00E55B88">
      <w:pPr>
        <w:spacing w:line="600" w:lineRule="exact"/>
        <w:ind w:firstLineChars="200" w:firstLine="640"/>
        <w:outlineLvl w:val="1"/>
        <w:rPr>
          <w:rFonts w:ascii="楷体_GB2312" w:eastAsia="楷体_GB2312"/>
          <w:sz w:val="32"/>
          <w:szCs w:val="32"/>
        </w:rPr>
      </w:pPr>
      <w:bookmarkStart w:id="8" w:name="_Toc1873"/>
      <w:r>
        <w:rPr>
          <w:rFonts w:ascii="楷体_GB2312" w:eastAsia="楷体_GB2312" w:hint="eastAsia"/>
          <w:sz w:val="32"/>
          <w:szCs w:val="32"/>
        </w:rPr>
        <w:t>（二）支出情况</w:t>
      </w:r>
      <w:bookmarkEnd w:id="8"/>
    </w:p>
    <w:p w14:paraId="61A26DDC" w14:textId="77777777" w:rsidR="00414524" w:rsidRDefault="00E55B88">
      <w:pPr>
        <w:spacing w:line="600" w:lineRule="exact"/>
        <w:ind w:firstLineChars="200" w:firstLine="640"/>
        <w:rPr>
          <w:rFonts w:ascii="仿宋_GB2312" w:eastAsia="仿宋_GB2312" w:hAnsi="仿宋"/>
          <w:sz w:val="32"/>
          <w:szCs w:val="32"/>
          <w:highlight w:val="yellow"/>
        </w:rPr>
      </w:pPr>
      <w:r>
        <w:rPr>
          <w:rFonts w:ascii="仿宋_GB2312" w:eastAsia="仿宋_GB2312" w:hAnsi="仿宋_GB2312" w:cs="仿宋_GB2312" w:hint="eastAsia"/>
          <w:sz w:val="32"/>
          <w:szCs w:val="32"/>
        </w:rPr>
        <w:t>市福利中心</w:t>
      </w:r>
      <w:r>
        <w:rPr>
          <w:rFonts w:ascii="仿宋_GB2312" w:eastAsia="仿宋_GB2312" w:hAnsi="仿宋" w:hint="eastAsia"/>
          <w:sz w:val="32"/>
          <w:szCs w:val="32"/>
        </w:rPr>
        <w:t>2024</w:t>
      </w:r>
      <w:r>
        <w:rPr>
          <w:rFonts w:ascii="仿宋_GB2312" w:eastAsia="仿宋_GB2312" w:hAnsi="仿宋" w:hint="eastAsia"/>
          <w:sz w:val="32"/>
          <w:szCs w:val="32"/>
        </w:rPr>
        <w:t>年总支出</w:t>
      </w:r>
      <w:r>
        <w:rPr>
          <w:rFonts w:ascii="仿宋_GB2312" w:eastAsia="仿宋_GB2312" w:hAnsi="仿宋" w:hint="eastAsia"/>
          <w:sz w:val="32"/>
          <w:szCs w:val="32"/>
        </w:rPr>
        <w:t>150745.77</w:t>
      </w:r>
      <w:r>
        <w:rPr>
          <w:rFonts w:ascii="仿宋_GB2312" w:eastAsia="仿宋_GB2312" w:hAnsi="仿宋" w:hint="eastAsia"/>
          <w:sz w:val="32"/>
          <w:szCs w:val="32"/>
        </w:rPr>
        <w:t>万元，其中：基本支出</w:t>
      </w:r>
      <w:r>
        <w:rPr>
          <w:rFonts w:ascii="仿宋_GB2312" w:eastAsia="仿宋_GB2312" w:hAnsi="仿宋" w:hint="eastAsia"/>
          <w:sz w:val="32"/>
          <w:szCs w:val="32"/>
        </w:rPr>
        <w:t>60074.40</w:t>
      </w:r>
      <w:r>
        <w:rPr>
          <w:rFonts w:ascii="仿宋_GB2312" w:eastAsia="仿宋_GB2312" w:hAnsi="仿宋" w:hint="eastAsia"/>
          <w:sz w:val="32"/>
          <w:szCs w:val="32"/>
        </w:rPr>
        <w:t>万元，项目支出</w:t>
      </w:r>
      <w:r>
        <w:rPr>
          <w:rFonts w:ascii="仿宋_GB2312" w:eastAsia="仿宋_GB2312" w:hAnsi="仿宋" w:hint="eastAsia"/>
          <w:sz w:val="32"/>
          <w:szCs w:val="32"/>
        </w:rPr>
        <w:t>43906.64</w:t>
      </w:r>
      <w:r>
        <w:rPr>
          <w:rFonts w:ascii="仿宋_GB2312" w:eastAsia="仿宋_GB2312" w:hAnsi="仿宋" w:hint="eastAsia"/>
          <w:sz w:val="32"/>
          <w:szCs w:val="32"/>
        </w:rPr>
        <w:t>万元，事业单位经营支出</w:t>
      </w:r>
      <w:r>
        <w:rPr>
          <w:rFonts w:ascii="仿宋_GB2312" w:eastAsia="仿宋_GB2312" w:hAnsi="仿宋" w:hint="eastAsia"/>
          <w:sz w:val="32"/>
          <w:szCs w:val="32"/>
        </w:rPr>
        <w:t>46428.73</w:t>
      </w:r>
      <w:r>
        <w:rPr>
          <w:rFonts w:ascii="仿宋_GB2312" w:eastAsia="仿宋_GB2312" w:hAnsi="仿宋" w:hint="eastAsia"/>
          <w:sz w:val="32"/>
          <w:szCs w:val="32"/>
        </w:rPr>
        <w:t>万元，对附属单位补助支出</w:t>
      </w:r>
      <w:r>
        <w:rPr>
          <w:rFonts w:ascii="仿宋_GB2312" w:eastAsia="仿宋_GB2312" w:hAnsi="仿宋" w:hint="eastAsia"/>
          <w:sz w:val="32"/>
          <w:szCs w:val="32"/>
        </w:rPr>
        <w:t>336.00</w:t>
      </w:r>
      <w:r>
        <w:rPr>
          <w:rFonts w:ascii="仿宋_GB2312" w:eastAsia="仿宋_GB2312" w:hAnsi="仿宋" w:hint="eastAsia"/>
          <w:sz w:val="32"/>
          <w:szCs w:val="32"/>
        </w:rPr>
        <w:t>。预算执行率为</w:t>
      </w:r>
      <w:r>
        <w:rPr>
          <w:rFonts w:ascii="仿宋_GB2312" w:eastAsia="仿宋_GB2312" w:hAnsi="仿宋" w:hint="eastAsia"/>
          <w:sz w:val="32"/>
          <w:szCs w:val="32"/>
        </w:rPr>
        <w:t>99.66%</w:t>
      </w:r>
      <w:r>
        <w:rPr>
          <w:rFonts w:ascii="仿宋_GB2312" w:eastAsia="仿宋_GB2312" w:hAnsi="仿宋" w:hint="eastAsia"/>
          <w:sz w:val="32"/>
          <w:szCs w:val="32"/>
        </w:rPr>
        <w:t>。</w:t>
      </w:r>
    </w:p>
    <w:p w14:paraId="6FCB8EF1" w14:textId="77777777" w:rsidR="00414524" w:rsidRDefault="00E55B88">
      <w:pPr>
        <w:spacing w:line="600" w:lineRule="exact"/>
        <w:ind w:firstLineChars="200" w:firstLine="640"/>
        <w:outlineLvl w:val="0"/>
        <w:rPr>
          <w:rFonts w:ascii="黑体" w:eastAsia="黑体" w:hAnsi="黑体" w:cs="宋体"/>
          <w:b/>
          <w:kern w:val="0"/>
          <w:sz w:val="32"/>
          <w:szCs w:val="32"/>
        </w:rPr>
      </w:pPr>
      <w:bookmarkStart w:id="9" w:name="_Toc11784"/>
      <w:r>
        <w:rPr>
          <w:rFonts w:ascii="黑体" w:eastAsia="黑体" w:hAnsi="黑体" w:cs="宋体" w:hint="eastAsia"/>
          <w:bCs/>
          <w:kern w:val="0"/>
          <w:sz w:val="32"/>
          <w:szCs w:val="32"/>
        </w:rPr>
        <w:t>三、整体绩效目标实现情况</w:t>
      </w:r>
      <w:bookmarkEnd w:id="9"/>
    </w:p>
    <w:p w14:paraId="11A41259"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（一）坚持凝心铸魂、固本强基，全面从严治党走深走实</w:t>
      </w:r>
    </w:p>
    <w:p w14:paraId="220C4026"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一是政治建设不断加强。强化理论武装，持续巩固习近平新时代中国特色社会主义思想主题教育成果，规范“第一议题”。结合党的二十届三中全会、党纪学习教育等，抓实政治理论学习，举办各类主体培训班</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期、</w:t>
      </w:r>
      <w:r>
        <w:rPr>
          <w:rFonts w:ascii="仿宋_GB2312" w:eastAsia="仿宋_GB2312" w:hAnsi="仿宋_GB2312" w:cs="仿宋_GB2312" w:hint="eastAsia"/>
          <w:sz w:val="32"/>
          <w:szCs w:val="32"/>
        </w:rPr>
        <w:t>400</w:t>
      </w:r>
      <w:r>
        <w:rPr>
          <w:rFonts w:ascii="仿宋_GB2312" w:eastAsia="仿宋_GB2312" w:hAnsi="仿宋_GB2312" w:cs="仿宋_GB2312" w:hint="eastAsia"/>
          <w:sz w:val="32"/>
          <w:szCs w:val="32"/>
        </w:rPr>
        <w:t>余人次参训。开展专项督查行动，召开</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次专题推进会，积极推动</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项挂</w:t>
      </w:r>
      <w:r>
        <w:rPr>
          <w:rFonts w:ascii="仿宋_GB2312" w:eastAsia="仿宋_GB2312" w:hAnsi="仿宋_GB2312" w:cs="仿宋_GB2312" w:hint="eastAsia"/>
          <w:sz w:val="32"/>
          <w:szCs w:val="32"/>
        </w:rPr>
        <w:lastRenderedPageBreak/>
        <w:t>账问题化解。深化模范机关创建，拍摄制作深化党建品牌创建纪实片，组织开展“党建引领聚合力、品牌赋能促发展”宣讲报告会，持续发挥党建品牌引领示范作用。</w:t>
      </w:r>
    </w:p>
    <w:p w14:paraId="0F62DA6D"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二是党纪学习教育成效显著。把党纪学习教育作为重要政治任务，周密安排部署，高位统筹推进，利用理论学习中心</w:t>
      </w:r>
      <w:r>
        <w:rPr>
          <w:rFonts w:ascii="仿宋_GB2312" w:eastAsia="仿宋_GB2312" w:hAnsi="仿宋_GB2312" w:cs="仿宋_GB2312" w:hint="eastAsia"/>
          <w:sz w:val="32"/>
          <w:szCs w:val="32"/>
        </w:rPr>
        <w:t>组学习、“三会一课”等形式开展《中国共产党纪律处分条例》学习，教育引导党员干部学纪、知纪、明纪、守纪，扎实推动党纪学习教育入脑入心、取得实效。</w:t>
      </w:r>
    </w:p>
    <w:p w14:paraId="2FB91144"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三是干部队伍建设扎实推进。强化干部选任管理，有序完成</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余家党组织换届选举和委员补选，全年提任调整处科级干部</w:t>
      </w:r>
      <w:r>
        <w:rPr>
          <w:rFonts w:ascii="仿宋_GB2312" w:eastAsia="仿宋_GB2312" w:hAnsi="仿宋_GB2312" w:cs="仿宋_GB2312" w:hint="eastAsia"/>
          <w:sz w:val="32"/>
          <w:szCs w:val="32"/>
        </w:rPr>
        <w:t>118</w:t>
      </w:r>
      <w:r>
        <w:rPr>
          <w:rFonts w:ascii="仿宋_GB2312" w:eastAsia="仿宋_GB2312" w:hAnsi="仿宋_GB2312" w:cs="仿宋_GB2312" w:hint="eastAsia"/>
          <w:sz w:val="32"/>
          <w:szCs w:val="32"/>
        </w:rPr>
        <w:t>人，其中处级</w:t>
      </w:r>
      <w:r>
        <w:rPr>
          <w:rFonts w:ascii="仿宋_GB2312" w:eastAsia="仿宋_GB2312" w:hAnsi="仿宋_GB2312" w:cs="仿宋_GB2312" w:hint="eastAsia"/>
          <w:sz w:val="32"/>
          <w:szCs w:val="32"/>
        </w:rPr>
        <w:t>44</w:t>
      </w:r>
      <w:r>
        <w:rPr>
          <w:rFonts w:ascii="仿宋_GB2312" w:eastAsia="仿宋_GB2312" w:hAnsi="仿宋_GB2312" w:cs="仿宋_GB2312" w:hint="eastAsia"/>
          <w:sz w:val="32"/>
          <w:szCs w:val="32"/>
        </w:rPr>
        <w:t>人、科级</w:t>
      </w:r>
      <w:r>
        <w:rPr>
          <w:rFonts w:ascii="仿宋_GB2312" w:eastAsia="仿宋_GB2312" w:hAnsi="仿宋_GB2312" w:cs="仿宋_GB2312" w:hint="eastAsia"/>
          <w:sz w:val="32"/>
          <w:szCs w:val="32"/>
        </w:rPr>
        <w:t>74</w:t>
      </w:r>
      <w:r>
        <w:rPr>
          <w:rFonts w:ascii="仿宋_GB2312" w:eastAsia="仿宋_GB2312" w:hAnsi="仿宋_GB2312" w:cs="仿宋_GB2312" w:hint="eastAsia"/>
          <w:sz w:val="32"/>
          <w:szCs w:val="32"/>
        </w:rPr>
        <w:t>人。规范人才引进和培训机制，有序开展事业单位公开招聘和退役士兵、转业军官接收安置，加大管理和专技人员培训力度，充分发挥民政技能大师工作室示范引领作用，有效增强干部职工干事创业的活力动能。</w:t>
      </w:r>
    </w:p>
    <w:p w14:paraId="76E0D23A"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四是党风廉政建设持续深化。定期开展政治</w:t>
      </w:r>
      <w:r>
        <w:rPr>
          <w:rFonts w:ascii="仿宋_GB2312" w:eastAsia="仿宋_GB2312" w:hAnsi="仿宋_GB2312" w:cs="仿宋_GB2312" w:hint="eastAsia"/>
          <w:sz w:val="32"/>
          <w:szCs w:val="32"/>
        </w:rPr>
        <w:t>生态分析研判，聚焦重点人重点事，扎实做好干部职工思想政治工作。实行监督关口前移，开展政治家访、谈心谈话、签订“八小时以外”严格自律承诺书等方式，加强约谈提醒和警示教育，教育党员干部自觉净化“三圈”，自觉筑牢拒腐防变的思想堤坝。</w:t>
      </w:r>
    </w:p>
    <w:p w14:paraId="33893F71"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（二）坚持突出公益、兜牢底线，服务保障效能全面提升</w:t>
      </w:r>
    </w:p>
    <w:p w14:paraId="0529FACD"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一是福利机构保障能力持续提升。积极深化北京市第一社会福利院智慧养老试点应用，创新开展多维度智慧养老综合服务；建设养护中心“智能</w:t>
      </w:r>
      <w:r>
        <w:rPr>
          <w:rFonts w:ascii="仿宋_GB2312" w:eastAsia="仿宋_GB2312" w:hAnsi="仿宋_GB2312" w:cs="仿宋_GB2312" w:hint="eastAsia"/>
          <w:sz w:val="32"/>
          <w:szCs w:val="32"/>
        </w:rPr>
        <w:t>AI</w:t>
      </w:r>
      <w:r>
        <w:rPr>
          <w:rFonts w:ascii="仿宋_GB2312" w:eastAsia="仿宋_GB2312" w:hAnsi="仿宋_GB2312" w:cs="仿宋_GB2312" w:hint="eastAsia"/>
          <w:sz w:val="32"/>
          <w:szCs w:val="32"/>
        </w:rPr>
        <w:t>守护平台”，对休养老人生命体征、日常状态进行实时监控预警，提高服务效能。大力创建儿童福利机构服务品牌，</w:t>
      </w:r>
      <w:r>
        <w:rPr>
          <w:rFonts w:ascii="仿宋_GB2312" w:eastAsia="仿宋_GB2312" w:hAnsi="仿宋_GB2312" w:cs="仿宋_GB2312" w:hint="eastAsia"/>
          <w:sz w:val="32"/>
          <w:szCs w:val="32"/>
        </w:rPr>
        <w:t>北京市儿童福利院科学优化营养膳食，着力打造“精细化养育”品牌；北京市第二儿童福利院做精自强特教学校“三德养教（厚德、育德、功德）”品牌，全面提升儿童生活及社会适应能力；北京</w:t>
      </w:r>
      <w:r>
        <w:rPr>
          <w:rFonts w:ascii="仿宋_GB2312" w:eastAsia="仿宋_GB2312" w:hAnsi="仿宋_GB2312" w:cs="仿宋_GB2312" w:hint="eastAsia"/>
          <w:sz w:val="32"/>
          <w:szCs w:val="32"/>
        </w:rPr>
        <w:t>SOS</w:t>
      </w:r>
      <w:r>
        <w:rPr>
          <w:rFonts w:ascii="仿宋_GB2312" w:eastAsia="仿宋_GB2312" w:hAnsi="仿宋_GB2312" w:cs="仿宋_GB2312" w:hint="eastAsia"/>
          <w:sz w:val="32"/>
          <w:szCs w:val="32"/>
        </w:rPr>
        <w:t>儿童村联合公益基金会开展学业辅助、职业启蒙等活动，不断深化“美丽引路人”品牌。扎实开展残障福利机构康养综合服务，北京市第二社会福利院着力推进“康养综合服务”项目，北京市第三社会福利院持续提升护理服务水平，切实推动残疾人系统性康复训练提质增效。</w:t>
      </w:r>
    </w:p>
    <w:p w14:paraId="28F2363D"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二是殡葬单位服务管理水平稳步提升。圆满完成清明祭扫服务保障任务，清明期间市属殡葬机构共接待</w:t>
      </w:r>
      <w:r>
        <w:rPr>
          <w:rFonts w:ascii="仿宋_GB2312" w:eastAsia="仿宋_GB2312" w:hAnsi="仿宋_GB2312" w:cs="仿宋_GB2312" w:hint="eastAsia"/>
          <w:sz w:val="32"/>
          <w:szCs w:val="32"/>
        </w:rPr>
        <w:t>现场祭扫群众</w:t>
      </w:r>
      <w:r>
        <w:rPr>
          <w:rFonts w:ascii="仿宋_GB2312" w:eastAsia="仿宋_GB2312" w:hAnsi="仿宋_GB2312" w:cs="仿宋_GB2312" w:hint="eastAsia"/>
          <w:sz w:val="32"/>
          <w:szCs w:val="32"/>
        </w:rPr>
        <w:t>136.99</w:t>
      </w:r>
      <w:r>
        <w:rPr>
          <w:rFonts w:ascii="仿宋_GB2312" w:eastAsia="仿宋_GB2312" w:hAnsi="仿宋_GB2312" w:cs="仿宋_GB2312" w:hint="eastAsia"/>
          <w:sz w:val="32"/>
          <w:szCs w:val="32"/>
        </w:rPr>
        <w:t>万人，疏导机动车</w:t>
      </w:r>
      <w:r>
        <w:rPr>
          <w:rFonts w:ascii="仿宋_GB2312" w:eastAsia="仿宋_GB2312" w:hAnsi="仿宋_GB2312" w:cs="仿宋_GB2312" w:hint="eastAsia"/>
          <w:sz w:val="32"/>
          <w:szCs w:val="32"/>
        </w:rPr>
        <w:t>34.14</w:t>
      </w:r>
      <w:r>
        <w:rPr>
          <w:rFonts w:ascii="仿宋_GB2312" w:eastAsia="仿宋_GB2312" w:hAnsi="仿宋_GB2312" w:cs="仿宋_GB2312" w:hint="eastAsia"/>
          <w:sz w:val="32"/>
          <w:szCs w:val="32"/>
        </w:rPr>
        <w:t>万辆，服务保障平安有序，各界群众反响良好。推广绿色生态安葬。丰富殡葬服务供给，市属殡仪馆创推出一系列便民服务举措和</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类惠民殡仪服务组合，革命公墓建设玉岑园二期骨灰墙格位。</w:t>
      </w:r>
    </w:p>
    <w:p w14:paraId="7EB0C5A4"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三是福利企业发展焕发活力。结合北京市民政工业总公司发展实际，协调市国资委将总公司由“整体脱钩划转”调整为“保留委托监管”，采取注销、转让、整合等方式，积极推动北京市民政工业总公司代管</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家单位历史遗留问题</w:t>
      </w:r>
      <w:r>
        <w:rPr>
          <w:rFonts w:ascii="仿宋_GB2312" w:eastAsia="仿宋_GB2312" w:hAnsi="仿宋_GB2312" w:cs="仿宋_GB2312" w:hint="eastAsia"/>
          <w:sz w:val="32"/>
          <w:szCs w:val="32"/>
        </w:rPr>
        <w:lastRenderedPageBreak/>
        <w:t>化解。迷奇生物公司加强营销宣传，加大新品开发力度，积极塑造品牌形象，实现销售额和利润同</w:t>
      </w:r>
      <w:r>
        <w:rPr>
          <w:rFonts w:ascii="仿宋_GB2312" w:eastAsia="仿宋_GB2312" w:hAnsi="仿宋_GB2312" w:cs="仿宋_GB2312" w:hint="eastAsia"/>
          <w:sz w:val="32"/>
          <w:szCs w:val="32"/>
        </w:rPr>
        <w:t>步增长。园福源公司加强技术研发，在全国同行业首创环保纸棺半自动化生产线设备，并建立标准化生产管理体系；火化设备成功开拓蒙古国市场，棺箱、骨灰盒销售额稳步增长。</w:t>
      </w:r>
    </w:p>
    <w:p w14:paraId="5FAFD3B1"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（三）坚持守正开新、破立并举，重点领域改革稳步推进</w:t>
      </w:r>
    </w:p>
    <w:p w14:paraId="78461FD6"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一是有序推进历史遗留问题化解。着眼制约市属福利事业高质量发展的难点堵点问题，全面系统梳理时间跨度长、牵涉范围广、处理难度大的历史遗留问题</w:t>
      </w:r>
      <w:r>
        <w:rPr>
          <w:rFonts w:ascii="仿宋_GB2312" w:eastAsia="仿宋_GB2312" w:hAnsi="仿宋_GB2312" w:cs="仿宋_GB2312" w:hint="eastAsia"/>
          <w:sz w:val="32"/>
          <w:szCs w:val="32"/>
        </w:rPr>
        <w:t>95</w:t>
      </w:r>
      <w:r>
        <w:rPr>
          <w:rFonts w:ascii="仿宋_GB2312" w:eastAsia="仿宋_GB2312" w:hAnsi="仿宋_GB2312" w:cs="仿宋_GB2312" w:hint="eastAsia"/>
          <w:sz w:val="32"/>
          <w:szCs w:val="32"/>
        </w:rPr>
        <w:t>项，建立清单台账，系统分析，找准症结，逐一明确解决方案，及时跟踪挂账销号，</w:t>
      </w: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项历史遗留问题得到妥善解决，年度解决率达</w:t>
      </w: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，有效为事业持续质量发展蓄能助力。</w:t>
      </w:r>
    </w:p>
    <w:p w14:paraId="1C4D13F3"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二是稳步推进福利机构资源统筹发展。按照精简增效、科学规划的原则，制定市属福利机构资源整合促进高质量发展工作方案，采取“小步快跑”和“压茬推进”的工作方式，稳步推动工作方案落实。</w:t>
      </w:r>
    </w:p>
    <w:p w14:paraId="50573E6B"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是积极推进辅具中心创新发展。以北京市康复辅具技术中心市场需求为导向，明确发展定位，理清发展思路，制定辅具中心创新发展工作方案，试点开展社区康复辅具服务站点布设，积极为服务对象提供普惠优质的康复辅具产品和技术服务。</w:t>
      </w:r>
    </w:p>
    <w:p w14:paraId="28E698F3"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（四）坚持制度约束、规范引领，事业保障机制高效运</w:t>
      </w:r>
      <w:r>
        <w:rPr>
          <w:rFonts w:ascii="仿宋_GB2312" w:eastAsia="仿宋_GB2312" w:hAnsi="仿宋_GB2312" w:cs="仿宋_GB2312" w:hint="eastAsia"/>
          <w:sz w:val="32"/>
          <w:szCs w:val="32"/>
        </w:rPr>
        <w:lastRenderedPageBreak/>
        <w:t>转</w:t>
      </w:r>
    </w:p>
    <w:p w14:paraId="67D5458F"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一是规范化建设持续深化。巩固拓展“两个规范化建设”成效，强化“一切按规矩办”鲜明导向，及时更新“四清单、一流程”，完成</w:t>
      </w:r>
      <w:r>
        <w:rPr>
          <w:rFonts w:ascii="仿宋_GB2312" w:eastAsia="仿宋_GB2312" w:hAnsi="仿宋_GB2312" w:cs="仿宋_GB2312" w:hint="eastAsia"/>
          <w:sz w:val="32"/>
          <w:szCs w:val="32"/>
        </w:rPr>
        <w:t>106</w:t>
      </w:r>
      <w:r>
        <w:rPr>
          <w:rFonts w:ascii="仿宋_GB2312" w:eastAsia="仿宋_GB2312" w:hAnsi="仿宋_GB2312" w:cs="仿宋_GB2312" w:hint="eastAsia"/>
          <w:sz w:val="32"/>
          <w:szCs w:val="32"/>
        </w:rPr>
        <w:t>项管理制度修订，编制中心系统“基本政策、基本业务和基本数据”材料，建立“三个基本”动态更新和常态学习工作机制。</w:t>
      </w:r>
    </w:p>
    <w:p w14:paraId="5ED3399A" w14:textId="4496CB7E"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二是建设项目稳步实施。</w:t>
      </w:r>
      <w:r>
        <w:rPr>
          <w:rFonts w:ascii="仿宋_GB2312" w:eastAsia="仿宋_GB2312" w:hAnsi="仿宋_GB2312" w:cs="仿宋_GB2312" w:hint="eastAsia"/>
          <w:color w:val="000000"/>
          <w:sz w:val="32"/>
          <w:szCs w:val="32"/>
        </w:rPr>
        <w:t>45</w:t>
      </w:r>
      <w:r>
        <w:rPr>
          <w:rFonts w:ascii="仿宋_GB2312" w:eastAsia="仿宋_GB2312" w:hAnsi="仿宋_GB2312" w:cs="仿宋_GB2312" w:hint="eastAsia"/>
          <w:color w:val="000000"/>
          <w:sz w:val="32"/>
          <w:szCs w:val="32"/>
        </w:rPr>
        <w:t>项建设工程项目顺利实施，有序</w:t>
      </w:r>
      <w:r>
        <w:rPr>
          <w:rFonts w:ascii="仿宋_GB2312" w:eastAsia="仿宋_GB2312" w:hAnsi="仿宋_GB2312" w:cs="仿宋_GB2312" w:hint="eastAsia"/>
          <w:color w:val="000000"/>
          <w:sz w:val="32"/>
          <w:szCs w:val="32"/>
        </w:rPr>
        <w:t>完成</w:t>
      </w:r>
      <w:r>
        <w:rPr>
          <w:rFonts w:ascii="仿宋_GB2312" w:eastAsia="仿宋_GB2312" w:hAnsi="仿宋_GB2312" w:cs="仿宋_GB2312" w:hint="eastAsia"/>
          <w:color w:val="000000"/>
          <w:sz w:val="32"/>
          <w:szCs w:val="32"/>
        </w:rPr>
        <w:t>23</w:t>
      </w:r>
      <w:r>
        <w:rPr>
          <w:rFonts w:ascii="仿宋_GB2312" w:eastAsia="仿宋_GB2312" w:hAnsi="仿宋_GB2312" w:cs="仿宋_GB2312" w:hint="eastAsia"/>
          <w:color w:val="000000"/>
          <w:sz w:val="32"/>
          <w:szCs w:val="32"/>
        </w:rPr>
        <w:t>项工程建设项目。</w:t>
      </w:r>
      <w:r>
        <w:rPr>
          <w:rFonts w:ascii="仿宋_GB2312" w:eastAsia="仿宋_GB2312" w:hAnsi="仿宋_GB2312" w:cs="仿宋_GB2312" w:hint="eastAsia"/>
          <w:sz w:val="32"/>
          <w:szCs w:val="32"/>
        </w:rPr>
        <w:t>三是资金资产运行规范安全。围绕资金领域风险隐患防控，充分发挥联合监督工作机制与专项审计、内部审计的同频监督效能，推进各类审计监督全面覆盖，重点加强对社会关注度高、资金流量大的领域开展全过程跟踪审计和监督检查，切实保障了资金使用安全。</w:t>
      </w:r>
    </w:p>
    <w:p w14:paraId="14E44F39"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是标准化信息化建设全面加强。强化信息系统支撑效能，探索重点领域非现场监管方式，明确应用场景，编制技术方案，实现市属殡葬单位远程视频监管。突出标准引领，有序推进殡葬、养老、儿童福利、残疾人福利等</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个国标、行标、地标的编制工作。</w:t>
      </w:r>
    </w:p>
    <w:p w14:paraId="6B2C7027"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（五）坚持源头预防、标本兼治，安全稳定形势持续向好</w:t>
      </w:r>
    </w:p>
    <w:p w14:paraId="269DBD45"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始终坚持“人民至上、生命至上”，切实把统筹发展和安全要求落实到事业发展各领域、各环节、全过程，全面夯实守牢安全运行底线。以安全生产治本攻坚三年行动为抓手，紧盯重点时期、关键节点，加强安全风险形势分析研判，</w:t>
      </w:r>
      <w:r>
        <w:rPr>
          <w:rFonts w:ascii="仿宋_GB2312" w:eastAsia="仿宋_GB2312" w:hAnsi="仿宋_GB2312" w:cs="仿宋_GB2312" w:hint="eastAsia"/>
          <w:sz w:val="32"/>
          <w:szCs w:val="32"/>
        </w:rPr>
        <w:lastRenderedPageBreak/>
        <w:t>深入推广“企安安”应用使用，统筹人防、物防、技防措施，扎实有效开展安全风险隐患排查整治。定期组织社会矛盾纠纷排查调处，严格落实信访和</w:t>
      </w:r>
      <w:r>
        <w:rPr>
          <w:rFonts w:ascii="仿宋_GB2312" w:eastAsia="仿宋_GB2312" w:hAnsi="仿宋_GB2312" w:cs="仿宋_GB2312" w:hint="eastAsia"/>
          <w:sz w:val="32"/>
          <w:szCs w:val="32"/>
        </w:rPr>
        <w:t>12345</w:t>
      </w:r>
      <w:r>
        <w:rPr>
          <w:rFonts w:ascii="仿宋_GB2312" w:eastAsia="仿宋_GB2312" w:hAnsi="仿宋_GB2312" w:cs="仿宋_GB2312" w:hint="eastAsia"/>
          <w:sz w:val="32"/>
          <w:szCs w:val="32"/>
        </w:rPr>
        <w:t>接诉即办工作机制，有效化解信访积案，响应率、解决率、满意率均为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，信访形势明显好转。</w:t>
      </w:r>
    </w:p>
    <w:p w14:paraId="118842F8" w14:textId="77777777" w:rsidR="00414524" w:rsidRDefault="00E55B88">
      <w:pPr>
        <w:spacing w:line="600" w:lineRule="exact"/>
        <w:ind w:firstLineChars="200" w:firstLine="640"/>
        <w:outlineLvl w:val="1"/>
        <w:rPr>
          <w:rFonts w:ascii="楷体_GB2312" w:eastAsia="楷体_GB2312"/>
          <w:sz w:val="32"/>
          <w:szCs w:val="32"/>
        </w:rPr>
      </w:pPr>
      <w:bookmarkStart w:id="10" w:name="_Toc31170"/>
      <w:r>
        <w:rPr>
          <w:rFonts w:ascii="楷体_GB2312" w:eastAsia="楷体_GB2312" w:hint="eastAsia"/>
          <w:sz w:val="32"/>
          <w:szCs w:val="32"/>
        </w:rPr>
        <w:t>（一）产出完成情况分析</w:t>
      </w:r>
      <w:bookmarkEnd w:id="10"/>
    </w:p>
    <w:p w14:paraId="7639807F" w14:textId="77777777" w:rsidR="00414524" w:rsidRDefault="00E55B88">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产出数量</w:t>
      </w:r>
    </w:p>
    <w:p w14:paraId="4B61D793"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）保障单位日常运转，严格执行预</w:t>
      </w:r>
      <w:r>
        <w:rPr>
          <w:rFonts w:ascii="仿宋_GB2312" w:eastAsia="仿宋_GB2312" w:hAnsi="仿宋_GB2312" w:cs="仿宋_GB2312" w:hint="eastAsia"/>
          <w:sz w:val="32"/>
          <w:szCs w:val="32"/>
        </w:rPr>
        <w:t>算</w:t>
      </w:r>
    </w:p>
    <w:p w14:paraId="0F83C0BC"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①推动全面从严治党向纵深发展相关工作</w:t>
      </w:r>
    </w:p>
    <w:p w14:paraId="0A667C55"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有效开展了财务日常运维工作，以及老人入住评估和两家市属公建民营养老机构监管督导工作；完成了</w:t>
      </w: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家下属单位对年度财务决算报告及经济活动的年报审计，</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家单位预算基础信息审核，</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家单位的年度税务审计服务及税务咨询服务和</w:t>
      </w:r>
      <w:r>
        <w:rPr>
          <w:rFonts w:ascii="仿宋_GB2312" w:eastAsia="仿宋_GB2312" w:hAnsi="仿宋_GB2312" w:cs="仿宋_GB2312" w:hint="eastAsia"/>
          <w:sz w:val="32"/>
          <w:szCs w:val="32"/>
        </w:rPr>
        <w:t>48</w:t>
      </w:r>
      <w:r>
        <w:rPr>
          <w:rFonts w:ascii="仿宋_GB2312" w:eastAsia="仿宋_GB2312" w:hAnsi="仿宋_GB2312" w:cs="仿宋_GB2312" w:hint="eastAsia"/>
          <w:sz w:val="32"/>
          <w:szCs w:val="32"/>
        </w:rPr>
        <w:t>家单位的审计。</w:t>
      </w:r>
    </w:p>
    <w:p w14:paraId="254B2079"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②提升福利机构和殡葬单位服务保障能力</w:t>
      </w:r>
    </w:p>
    <w:p w14:paraId="1D62A793"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完成基层单位安全风险评估和隐患排查，</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次中心系统安全生产培训，</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家中心所属单位的慰问补助工作；进行了固定资产清查、会计档案电子化管理、档案整理、数字加工等财务运行相关费用支出服务；完成了对消防设</w:t>
      </w:r>
      <w:r>
        <w:rPr>
          <w:rFonts w:ascii="仿宋_GB2312" w:eastAsia="仿宋_GB2312" w:hAnsi="仿宋_GB2312" w:cs="仿宋_GB2312" w:hint="eastAsia"/>
          <w:sz w:val="32"/>
          <w:szCs w:val="32"/>
        </w:rPr>
        <w:t>备器材的年检维护及医疗仪器设备、电梯、安全设备设施的日常维护保养和维修工作，开展了</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家殡葬机构视频监控系统巡检。</w:t>
      </w:r>
    </w:p>
    <w:p w14:paraId="377B267D"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③深入推进市属福利机构社会化改革发展，积极稳妥推进市属殡葬单位改革</w:t>
      </w:r>
    </w:p>
    <w:p w14:paraId="79A78A89" w14:textId="599CDA89"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市福利中心完成下属各福利机构</w:t>
      </w:r>
      <w:r>
        <w:rPr>
          <w:rFonts w:ascii="仿宋_GB2312" w:eastAsia="仿宋_GB2312" w:hAnsi="仿宋_GB2312" w:cs="仿宋_GB2312" w:hint="eastAsia"/>
          <w:sz w:val="32"/>
          <w:szCs w:val="32"/>
        </w:rPr>
        <w:t>医用耗材购置、医疗设备更新工作</w:t>
      </w:r>
      <w:r>
        <w:rPr>
          <w:rFonts w:ascii="仿宋_GB2312" w:eastAsia="仿宋_GB2312" w:hAnsi="仿宋_GB2312" w:cs="仿宋_GB2312" w:hint="eastAsia"/>
          <w:sz w:val="32"/>
          <w:szCs w:val="32"/>
        </w:rPr>
        <w:t>，完成</w:t>
      </w:r>
      <w:r>
        <w:rPr>
          <w:rFonts w:ascii="仿宋_GB2312" w:eastAsia="仿宋_GB2312" w:hAnsi="仿宋_GB2312" w:cs="仿宋_GB2312" w:hint="eastAsia"/>
          <w:sz w:val="32"/>
          <w:szCs w:val="32"/>
        </w:rPr>
        <w:t>殡葬单位</w:t>
      </w:r>
      <w:r>
        <w:rPr>
          <w:rFonts w:ascii="仿宋_GB2312" w:eastAsia="仿宋_GB2312" w:hAnsi="仿宋_GB2312" w:cs="仿宋_GB2312" w:hint="eastAsia"/>
          <w:sz w:val="32"/>
          <w:szCs w:val="32"/>
        </w:rPr>
        <w:t>工程项目。</w:t>
      </w:r>
    </w:p>
    <w:p w14:paraId="2FF11049"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④保障网络信息化规范运行，单位日常正常运营</w:t>
      </w:r>
    </w:p>
    <w:p w14:paraId="315C362B"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市福利中心全年共完成</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条宽带的租赁，医保专网接入安全服务和医保业务备用链路服务，医保信息系统个性化技术服务、信息安全运维和预约挂号直连、食源性疾病病例监测直报、</w:t>
      </w:r>
      <w:r>
        <w:rPr>
          <w:rFonts w:ascii="仿宋_GB2312" w:eastAsia="仿宋_GB2312" w:hAnsi="仿宋_GB2312" w:cs="仿宋_GB2312" w:hint="eastAsia"/>
          <w:sz w:val="32"/>
          <w:szCs w:val="32"/>
        </w:rPr>
        <w:t>HIS</w:t>
      </w:r>
      <w:r>
        <w:rPr>
          <w:rFonts w:ascii="仿宋_GB2312" w:eastAsia="仿宋_GB2312" w:hAnsi="仿宋_GB2312" w:cs="仿宋_GB2312" w:hint="eastAsia"/>
          <w:sz w:val="32"/>
          <w:szCs w:val="32"/>
        </w:rPr>
        <w:t>系统、</w:t>
      </w:r>
      <w:r>
        <w:rPr>
          <w:rFonts w:ascii="仿宋_GB2312" w:eastAsia="仿宋_GB2312" w:hAnsi="仿宋_GB2312" w:cs="仿宋_GB2312" w:hint="eastAsia"/>
          <w:sz w:val="32"/>
          <w:szCs w:val="32"/>
        </w:rPr>
        <w:t>LIS</w:t>
      </w:r>
      <w:r>
        <w:rPr>
          <w:rFonts w:ascii="仿宋_GB2312" w:eastAsia="仿宋_GB2312" w:hAnsi="仿宋_GB2312" w:cs="仿宋_GB2312" w:hint="eastAsia"/>
          <w:sz w:val="32"/>
          <w:szCs w:val="32"/>
        </w:rPr>
        <w:t>系统、</w:t>
      </w:r>
      <w:r>
        <w:rPr>
          <w:rFonts w:ascii="仿宋_GB2312" w:eastAsia="仿宋_GB2312" w:hAnsi="仿宋_GB2312" w:cs="仿宋_GB2312" w:hint="eastAsia"/>
          <w:sz w:val="32"/>
          <w:szCs w:val="32"/>
        </w:rPr>
        <w:t>EMR</w:t>
      </w:r>
      <w:r>
        <w:rPr>
          <w:rFonts w:ascii="仿宋_GB2312" w:eastAsia="仿宋_GB2312" w:hAnsi="仿宋_GB2312" w:cs="仿宋_GB2312" w:hint="eastAsia"/>
          <w:sz w:val="32"/>
          <w:szCs w:val="32"/>
        </w:rPr>
        <w:t>系统、</w:t>
      </w:r>
      <w:r>
        <w:rPr>
          <w:rFonts w:ascii="仿宋_GB2312" w:eastAsia="仿宋_GB2312" w:hAnsi="仿宋_GB2312" w:cs="仿宋_GB2312" w:hint="eastAsia"/>
          <w:sz w:val="32"/>
          <w:szCs w:val="32"/>
        </w:rPr>
        <w:t>PACS</w:t>
      </w:r>
      <w:r>
        <w:rPr>
          <w:rFonts w:ascii="仿宋_GB2312" w:eastAsia="仿宋_GB2312" w:hAnsi="仿宋_GB2312" w:cs="仿宋_GB2312" w:hint="eastAsia"/>
          <w:sz w:val="32"/>
          <w:szCs w:val="32"/>
        </w:rPr>
        <w:t>系统、</w:t>
      </w:r>
      <w:r>
        <w:rPr>
          <w:rFonts w:ascii="仿宋_GB2312" w:eastAsia="仿宋_GB2312" w:hAnsi="仿宋_GB2312" w:cs="仿宋_GB2312" w:hint="eastAsia"/>
          <w:sz w:val="32"/>
          <w:szCs w:val="32"/>
        </w:rPr>
        <w:t>RIS</w:t>
      </w:r>
      <w:r>
        <w:rPr>
          <w:rFonts w:ascii="仿宋_GB2312" w:eastAsia="仿宋_GB2312" w:hAnsi="仿宋_GB2312" w:cs="仿宋_GB2312" w:hint="eastAsia"/>
          <w:sz w:val="32"/>
          <w:szCs w:val="32"/>
        </w:rPr>
        <w:t>系统等信息系统及北京市儿童福利院综合业务系统（一期）管理系统和雪亮工程系统的运维工作；购买了医疗收费电子票据云平台服务。</w:t>
      </w:r>
    </w:p>
    <w:p w14:paraId="5BBBC8A9"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⑤提升殡葬单位服务保障能力</w:t>
      </w:r>
    </w:p>
    <w:p w14:paraId="72D6022C"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市福利中心的福利二处及下属殡葬机构，按照国家法律法规，实施完成所属墓园的管理监督工作。</w:t>
      </w:r>
    </w:p>
    <w:p w14:paraId="43068F03"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）保障机构内政府供养保障对象生活，提升福利机构服务保障能力，持续做好养老机构服务保障工作</w:t>
      </w:r>
    </w:p>
    <w:p w14:paraId="45DAC81C"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福利中心下属福利机构，具体包括：第一社会福利院、第二社会福利院、第三社会福利院、儿童福利院及第二儿童福利院，实施完成了对政府供养保障对象进行生活照料、体检、基础医疗等工作，其中包含老人，儿童，精神残疾人员；开展</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次计生特困专项活动及心理疏导服务和手工活动；组织学生开展夏令营活动</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次、运动会</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次，并开展了日常使用的设施设备的维修维护工作。</w:t>
      </w:r>
    </w:p>
    <w:p w14:paraId="0EED0F10"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）保障市属殡葬单位清明节工作顺利进行、爱国主</w:t>
      </w:r>
      <w:r>
        <w:rPr>
          <w:rFonts w:ascii="仿宋_GB2312" w:eastAsia="仿宋_GB2312" w:hAnsi="仿宋_GB2312" w:cs="仿宋_GB2312" w:hint="eastAsia"/>
          <w:sz w:val="32"/>
          <w:szCs w:val="32"/>
        </w:rPr>
        <w:lastRenderedPageBreak/>
        <w:t>义基地正常运转等</w:t>
      </w:r>
    </w:p>
    <w:p w14:paraId="12A01A2C" w14:textId="3D782EAB"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市福利中心的福利二处及下属殡葬机构，按照国家法律法规，实施完成所属墓园的管理监督工作，具体包括：</w:t>
      </w:r>
      <w:r>
        <w:rPr>
          <w:rFonts w:ascii="仿宋_GB2312" w:eastAsia="仿宋_GB2312" w:hAnsi="仿宋_GB2312" w:cs="仿宋_GB2312" w:hint="eastAsia"/>
          <w:sz w:val="32"/>
          <w:szCs w:val="32"/>
        </w:rPr>
        <w:t>保障了北京市八宝山革命公墓、北京市八宝山殡仪馆、北京市万安公墓、北京市东郊殡仪馆、北京市殡葬服务中心等</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家单位清明期间祭扫服务及宣传工作；完成园区绿化、古树养护、纪念标志物维护工作；开展了爱国主义教育基地的宣传、维修维护及物业管理工作；维修维护</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辆电瓶车及</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套多媒体设备安装工作；万安公墓全年累计接待参观人数达到</w:t>
      </w:r>
      <w:r>
        <w:rPr>
          <w:rFonts w:ascii="仿宋_GB2312" w:eastAsia="仿宋_GB2312" w:hAnsi="仿宋_GB2312" w:cs="仿宋_GB2312" w:hint="eastAsia"/>
          <w:sz w:val="32"/>
          <w:szCs w:val="32"/>
        </w:rPr>
        <w:t>50000</w:t>
      </w:r>
      <w:r>
        <w:rPr>
          <w:rFonts w:ascii="仿宋_GB2312" w:eastAsia="仿宋_GB2312" w:hAnsi="仿宋_GB2312" w:cs="仿宋_GB2312" w:hint="eastAsia"/>
          <w:sz w:val="32"/>
          <w:szCs w:val="32"/>
        </w:rPr>
        <w:t>人次。</w:t>
      </w:r>
    </w:p>
    <w:p w14:paraId="4C36FC2C"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）保障市直属福利企业困难残疾职工困难群体基本生活</w:t>
      </w:r>
    </w:p>
    <w:p w14:paraId="7E4AAECB"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产出质量</w:t>
      </w:r>
    </w:p>
    <w:p w14:paraId="2C3EBD83"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）保障单位日常运转，严格执行预算</w:t>
      </w:r>
    </w:p>
    <w:p w14:paraId="392D3D01"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①推动全面从严治党向纵深发</w:t>
      </w:r>
      <w:r>
        <w:rPr>
          <w:rFonts w:ascii="仿宋_GB2312" w:eastAsia="仿宋_GB2312" w:hAnsi="仿宋_GB2312" w:cs="仿宋_GB2312" w:hint="eastAsia"/>
          <w:sz w:val="32"/>
          <w:szCs w:val="32"/>
        </w:rPr>
        <w:t>展相关工作</w:t>
      </w:r>
    </w:p>
    <w:p w14:paraId="009DE3B7" w14:textId="46A31E47" w:rsidR="00414524" w:rsidRDefault="00E55B88">
      <w:pPr>
        <w:spacing w:line="600" w:lineRule="exact"/>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该项工作涵盖</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个预算项目，分别由市福利中心的组织处、人事处、办公室、计财处、审计处、老干部处牵头负责，项目实施中严格执行与项目实施内容相关的各项国家行业标准及法规，如：老干部相关工作执行《北京市老干部工作领导责任制》；年报审计、内控评估修订、资产评估等工作严格执行《中国注册会计师审计准则》；福利事务工作符合北京市公办养老机构改革相关政策精神及具体工作对应的文件要求；市福利中心系统统筹政府采购招标工作严格</w:t>
      </w:r>
      <w:r>
        <w:rPr>
          <w:rFonts w:ascii="仿宋_GB2312" w:eastAsia="仿宋_GB2312" w:hAnsi="仿宋_GB2312" w:cs="仿宋_GB2312" w:hint="eastAsia"/>
          <w:sz w:val="32"/>
          <w:szCs w:val="32"/>
        </w:rPr>
        <w:t>执行</w:t>
      </w:r>
      <w:r>
        <w:rPr>
          <w:rFonts w:ascii="仿宋_GB2312" w:eastAsia="仿宋_GB2312" w:hAnsi="仿宋_GB2312" w:cs="仿宋_GB2312" w:hint="eastAsia"/>
          <w:sz w:val="32"/>
          <w:szCs w:val="32"/>
        </w:rPr>
        <w:lastRenderedPageBreak/>
        <w:t>《市福利中心系统统筹管理政府采购项目实施意见</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试行</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》文件要求；骨灰自然葬安葬补贴符合《骨灰节地生态安葬规范》要求；基层单位安全风险评估和隐患排查工作及固定资产清查工作符合民政部门及财政资产管理规范。</w:t>
      </w:r>
    </w:p>
    <w:p w14:paraId="6E220C39"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②提升福利机构和殡葬单位服务保障能力</w:t>
      </w:r>
    </w:p>
    <w:p w14:paraId="42694A6B"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该项工作覆盖</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个预算项目，为市福利中心下属预算单位的机构运行保障类项目，项目实施中严格执行与项目实施内容相关的各项国家行业标准及法规，如：聘用安保人员均为专业安保公司备案人员，持证上岗；消防设备服务符合国家及行业相关标准；医用设备更新项目购置硬件设备符合国家生产标准，满</w:t>
      </w:r>
      <w:r>
        <w:rPr>
          <w:rFonts w:ascii="仿宋_GB2312" w:eastAsia="仿宋_GB2312" w:hAnsi="仿宋_GB2312" w:cs="仿宋_GB2312" w:hint="eastAsia"/>
          <w:sz w:val="32"/>
          <w:szCs w:val="32"/>
        </w:rPr>
        <w:t>足各院基本医疗业务需要。</w:t>
      </w:r>
    </w:p>
    <w:p w14:paraId="7165E4F0"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③深入推进市属福利机构社会化改革发展，积极稳妥推进市属殡葬单位改革</w:t>
      </w:r>
    </w:p>
    <w:p w14:paraId="7F4C1AC0"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该项工作涵盖</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个预算项目，项目实施中严格执行与项目实施内容相关的各项国家行业标准及法规，如：根据院内要求按需采购供应消毒和医疗用品；药品符合相关国家药品质量要求；改造工作符合《屋面工程质量验收规范》（</w:t>
      </w:r>
      <w:r>
        <w:rPr>
          <w:rFonts w:ascii="仿宋_GB2312" w:eastAsia="仿宋_GB2312" w:hAnsi="仿宋_GB2312" w:cs="仿宋_GB2312" w:hint="eastAsia"/>
          <w:sz w:val="32"/>
          <w:szCs w:val="32"/>
        </w:rPr>
        <w:t>GB50207)</w:t>
      </w:r>
      <w:r>
        <w:rPr>
          <w:rFonts w:ascii="仿宋_GB2312" w:eastAsia="仿宋_GB2312" w:hAnsi="仿宋_GB2312" w:cs="仿宋_GB2312" w:hint="eastAsia"/>
          <w:sz w:val="32"/>
          <w:szCs w:val="32"/>
        </w:rPr>
        <w:t>、《民用建筑设计统一标准》</w:t>
      </w:r>
      <w:r>
        <w:rPr>
          <w:rFonts w:ascii="仿宋_GB2312" w:eastAsia="仿宋_GB2312" w:hAnsi="仿宋_GB2312" w:cs="仿宋_GB2312" w:hint="eastAsia"/>
          <w:sz w:val="32"/>
          <w:szCs w:val="32"/>
        </w:rPr>
        <w:t>GB50352-2019</w:t>
      </w:r>
      <w:r>
        <w:rPr>
          <w:rFonts w:ascii="仿宋_GB2312" w:eastAsia="仿宋_GB2312" w:hAnsi="仿宋_GB2312" w:cs="仿宋_GB2312" w:hint="eastAsia"/>
          <w:sz w:val="32"/>
          <w:szCs w:val="32"/>
        </w:rPr>
        <w:t>、《民用建筑通用规范》（</w:t>
      </w:r>
      <w:r>
        <w:rPr>
          <w:rFonts w:ascii="仿宋_GB2312" w:eastAsia="仿宋_GB2312" w:hAnsi="仿宋_GB2312" w:cs="仿宋_GB2312" w:hint="eastAsia"/>
          <w:sz w:val="32"/>
          <w:szCs w:val="32"/>
        </w:rPr>
        <w:t>GB 55031-2022</w:t>
      </w:r>
      <w:r>
        <w:rPr>
          <w:rFonts w:ascii="仿宋_GB2312" w:eastAsia="仿宋_GB2312" w:hAnsi="仿宋_GB2312" w:cs="仿宋_GB2312" w:hint="eastAsia"/>
          <w:sz w:val="32"/>
          <w:szCs w:val="32"/>
        </w:rPr>
        <w:t>）、《老年人照料设施建筑设计标准》</w:t>
      </w:r>
      <w:r>
        <w:rPr>
          <w:rFonts w:ascii="仿宋_GB2312" w:eastAsia="仿宋_GB2312" w:hAnsi="仿宋_GB2312" w:cs="仿宋_GB2312" w:hint="eastAsia"/>
          <w:sz w:val="32"/>
          <w:szCs w:val="32"/>
        </w:rPr>
        <w:t>JGJ450-2018</w:t>
      </w:r>
      <w:r>
        <w:rPr>
          <w:rFonts w:ascii="仿宋_GB2312" w:eastAsia="仿宋_GB2312" w:hAnsi="仿宋_GB2312" w:cs="仿宋_GB2312" w:hint="eastAsia"/>
          <w:sz w:val="32"/>
          <w:szCs w:val="32"/>
        </w:rPr>
        <w:t>、《精神卫生社会福利机构基本规范》</w:t>
      </w:r>
      <w:r>
        <w:rPr>
          <w:rFonts w:ascii="仿宋_GB2312" w:eastAsia="仿宋_GB2312" w:hAnsi="仿宋_GB2312" w:cs="仿宋_GB2312" w:hint="eastAsia"/>
          <w:sz w:val="32"/>
          <w:szCs w:val="32"/>
        </w:rPr>
        <w:t xml:space="preserve">MZ/T </w:t>
      </w:r>
      <w:r>
        <w:rPr>
          <w:rFonts w:ascii="仿宋_GB2312" w:eastAsia="仿宋_GB2312" w:hAnsi="仿宋_GB2312" w:cs="仿宋_GB2312" w:hint="eastAsia"/>
          <w:sz w:val="32"/>
          <w:szCs w:val="32"/>
        </w:rPr>
        <w:t>056-2014</w:t>
      </w:r>
      <w:r>
        <w:rPr>
          <w:rFonts w:ascii="仿宋_GB2312" w:eastAsia="仿宋_GB2312" w:hAnsi="仿宋_GB2312" w:cs="仿宋_GB2312" w:hint="eastAsia"/>
          <w:sz w:val="32"/>
          <w:szCs w:val="32"/>
        </w:rPr>
        <w:t>、《精神专科医院建筑设计规范》</w:t>
      </w:r>
      <w:r>
        <w:rPr>
          <w:rFonts w:ascii="仿宋_GB2312" w:eastAsia="仿宋_GB2312" w:hAnsi="仿宋_GB2312" w:cs="仿宋_GB2312" w:hint="eastAsia"/>
          <w:sz w:val="32"/>
          <w:szCs w:val="32"/>
        </w:rPr>
        <w:t>GB51058-2014</w:t>
      </w:r>
      <w:r>
        <w:rPr>
          <w:rFonts w:ascii="仿宋_GB2312" w:eastAsia="仿宋_GB2312" w:hAnsi="仿宋_GB2312" w:cs="仿宋_GB2312" w:hint="eastAsia"/>
          <w:sz w:val="32"/>
          <w:szCs w:val="32"/>
        </w:rPr>
        <w:t>、《建筑防火通用规范》</w:t>
      </w:r>
      <w:r>
        <w:rPr>
          <w:rFonts w:ascii="仿宋_GB2312" w:eastAsia="仿宋_GB2312" w:hAnsi="仿宋_GB2312" w:cs="仿宋_GB2312" w:hint="eastAsia"/>
          <w:sz w:val="32"/>
          <w:szCs w:val="32"/>
        </w:rPr>
        <w:t>GB 55037-2022</w:t>
      </w:r>
      <w:r>
        <w:rPr>
          <w:rFonts w:ascii="仿宋_GB2312" w:eastAsia="仿宋_GB2312" w:hAnsi="仿宋_GB2312" w:cs="仿宋_GB2312" w:hint="eastAsia"/>
          <w:sz w:val="32"/>
          <w:szCs w:val="32"/>
        </w:rPr>
        <w:t>、《建筑内部装修设计防火规范》</w:t>
      </w:r>
      <w:r>
        <w:rPr>
          <w:rFonts w:ascii="仿宋_GB2312" w:eastAsia="仿宋_GB2312" w:hAnsi="仿宋_GB2312" w:cs="仿宋_GB2312" w:hint="eastAsia"/>
          <w:sz w:val="32"/>
          <w:szCs w:val="32"/>
        </w:rPr>
        <w:t>GB50222-2017</w:t>
      </w:r>
      <w:r>
        <w:rPr>
          <w:rFonts w:ascii="仿宋_GB2312" w:eastAsia="仿宋_GB2312" w:hAnsi="仿宋_GB2312" w:cs="仿宋_GB2312" w:hint="eastAsia"/>
          <w:sz w:val="32"/>
          <w:szCs w:val="32"/>
        </w:rPr>
        <w:t>、《消防设施通用</w:t>
      </w:r>
      <w:r>
        <w:rPr>
          <w:rFonts w:ascii="仿宋_GB2312" w:eastAsia="仿宋_GB2312" w:hAnsi="仿宋_GB2312" w:cs="仿宋_GB2312" w:hint="eastAsia"/>
          <w:sz w:val="32"/>
          <w:szCs w:val="32"/>
        </w:rPr>
        <w:lastRenderedPageBreak/>
        <w:t>规范》</w:t>
      </w:r>
      <w:r>
        <w:rPr>
          <w:rFonts w:ascii="仿宋_GB2312" w:eastAsia="仿宋_GB2312" w:hAnsi="仿宋_GB2312" w:cs="仿宋_GB2312" w:hint="eastAsia"/>
          <w:sz w:val="32"/>
          <w:szCs w:val="32"/>
        </w:rPr>
        <w:t>GB55036-2022</w:t>
      </w:r>
      <w:r>
        <w:rPr>
          <w:rFonts w:ascii="仿宋_GB2312" w:eastAsia="仿宋_GB2312" w:hAnsi="仿宋_GB2312" w:cs="仿宋_GB2312" w:hint="eastAsia"/>
          <w:sz w:val="32"/>
          <w:szCs w:val="32"/>
        </w:rPr>
        <w:t>、《北京市既有建筑改造工程消防设计指南》</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年版</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、《建筑给水排水设计标准》</w:t>
      </w:r>
      <w:r>
        <w:rPr>
          <w:rFonts w:ascii="仿宋_GB2312" w:eastAsia="仿宋_GB2312" w:hAnsi="仿宋_GB2312" w:cs="仿宋_GB2312" w:hint="eastAsia"/>
          <w:sz w:val="32"/>
          <w:szCs w:val="32"/>
        </w:rPr>
        <w:t>GB50015-2019</w:t>
      </w:r>
      <w:r>
        <w:rPr>
          <w:rFonts w:ascii="仿宋_GB2312" w:eastAsia="仿宋_GB2312" w:hAnsi="仿宋_GB2312" w:cs="仿宋_GB2312" w:hint="eastAsia"/>
          <w:sz w:val="32"/>
          <w:szCs w:val="32"/>
        </w:rPr>
        <w:t>、《民用建筑供暖通风与空气调节设计规范》（</w:t>
      </w:r>
      <w:r>
        <w:rPr>
          <w:rFonts w:ascii="仿宋_GB2312" w:eastAsia="仿宋_GB2312" w:hAnsi="仿宋_GB2312" w:cs="仿宋_GB2312" w:hint="eastAsia"/>
          <w:sz w:val="32"/>
          <w:szCs w:val="32"/>
        </w:rPr>
        <w:t>GB50736-2012</w:t>
      </w:r>
      <w:r>
        <w:rPr>
          <w:rFonts w:ascii="仿宋_GB2312" w:eastAsia="仿宋_GB2312" w:hAnsi="仿宋_GB2312" w:cs="仿宋_GB2312" w:hint="eastAsia"/>
          <w:sz w:val="32"/>
          <w:szCs w:val="32"/>
        </w:rPr>
        <w:t>）、《民用建筑电气设计标准》（</w:t>
      </w:r>
      <w:r>
        <w:rPr>
          <w:rFonts w:ascii="仿宋_GB2312" w:eastAsia="仿宋_GB2312" w:hAnsi="仿宋_GB2312" w:cs="仿宋_GB2312" w:hint="eastAsia"/>
          <w:sz w:val="32"/>
          <w:szCs w:val="32"/>
        </w:rPr>
        <w:t>GB51348-2019</w:t>
      </w:r>
      <w:r>
        <w:rPr>
          <w:rFonts w:ascii="仿宋_GB2312" w:eastAsia="仿宋_GB2312" w:hAnsi="仿宋_GB2312" w:cs="仿宋_GB2312" w:hint="eastAsia"/>
          <w:sz w:val="32"/>
          <w:szCs w:val="32"/>
        </w:rPr>
        <w:t>）等市住建委建筑施工改造验收相关标准要求。</w:t>
      </w:r>
    </w:p>
    <w:p w14:paraId="7BF3A384"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④保障网络信息化规范运行</w:t>
      </w:r>
      <w:r>
        <w:rPr>
          <w:rFonts w:ascii="仿宋_GB2312" w:eastAsia="仿宋_GB2312" w:hAnsi="仿宋_GB2312" w:cs="仿宋_GB2312" w:hint="eastAsia"/>
          <w:sz w:val="32"/>
          <w:szCs w:val="32"/>
        </w:rPr>
        <w:t>，单位日常正常运营</w:t>
      </w:r>
    </w:p>
    <w:p w14:paraId="7A54131A"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该项工作涵盖</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个预算项目，信息化及驻场运维项目涵盖全部系统维护、故障排除，驻场人员应</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小时在岗，电子政务外网安全接入保障工作符合相关标准。</w:t>
      </w:r>
    </w:p>
    <w:p w14:paraId="396A519B"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⑤提升殡葬单位服务保障能力</w:t>
      </w:r>
    </w:p>
    <w:p w14:paraId="194D137F"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该项工作涵盖</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个预算项目，分别由市福利中心及下属殡葬单位负责实施，保障日常工作正常开展，维持机构正常运转。</w:t>
      </w:r>
    </w:p>
    <w:p w14:paraId="66420BF2"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⑥完善疫情防控策略和应对举措</w:t>
      </w:r>
    </w:p>
    <w:p w14:paraId="71740B6A"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该项工作涵盖</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个预算项目，由市福利中心下属的</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家社会福利机构和殡葬单位负责实施，项目实施中严格执行与项目实施内容相关的各项国家行业标准及法规，如防疫物品达到卫生局二级医院的卫生检查要</w:t>
      </w:r>
      <w:r>
        <w:rPr>
          <w:rFonts w:ascii="仿宋_GB2312" w:eastAsia="仿宋_GB2312" w:hAnsi="仿宋_GB2312" w:cs="仿宋_GB2312" w:hint="eastAsia"/>
          <w:sz w:val="32"/>
          <w:szCs w:val="32"/>
        </w:rPr>
        <w:t>求；洗衣服务外包应同时符合</w:t>
      </w:r>
      <w:r>
        <w:rPr>
          <w:rFonts w:ascii="仿宋_GB2312" w:eastAsia="仿宋_GB2312" w:hAnsi="仿宋_GB2312" w:cs="仿宋_GB2312" w:hint="eastAsia"/>
          <w:sz w:val="32"/>
          <w:szCs w:val="32"/>
        </w:rPr>
        <w:t>WS/T508-2016</w:t>
      </w:r>
      <w:r>
        <w:rPr>
          <w:rFonts w:ascii="仿宋_GB2312" w:eastAsia="仿宋_GB2312" w:hAnsi="仿宋_GB2312" w:cs="仿宋_GB2312" w:hint="eastAsia"/>
          <w:sz w:val="32"/>
          <w:szCs w:val="32"/>
        </w:rPr>
        <w:t>《医院医用织物洗涤消毒技术规范》及</w:t>
      </w:r>
      <w:r>
        <w:rPr>
          <w:rFonts w:ascii="仿宋_GB2312" w:eastAsia="仿宋_GB2312" w:hAnsi="仿宋_GB2312" w:cs="仿宋_GB2312" w:hint="eastAsia"/>
          <w:sz w:val="32"/>
          <w:szCs w:val="32"/>
        </w:rPr>
        <w:t>DB11/662-2009</w:t>
      </w:r>
      <w:r>
        <w:rPr>
          <w:rFonts w:ascii="仿宋_GB2312" w:eastAsia="仿宋_GB2312" w:hAnsi="仿宋_GB2312" w:cs="仿宋_GB2312" w:hint="eastAsia"/>
          <w:sz w:val="32"/>
          <w:szCs w:val="32"/>
        </w:rPr>
        <w:t>《医院布草洗涤卫生规范》要求。</w:t>
      </w:r>
    </w:p>
    <w:p w14:paraId="369EAFEA"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）保障机构内政府供养保障对象生活，提升福利机构服务保障能力，持续做好养老机构服务保障工作</w:t>
      </w:r>
    </w:p>
    <w:p w14:paraId="5E93D669" w14:textId="77777777" w:rsidR="00414524" w:rsidRDefault="00E55B88">
      <w:pPr>
        <w:spacing w:line="600" w:lineRule="exact"/>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lastRenderedPageBreak/>
        <w:t>该项工作涵盖</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个预算项目，由市福利中心下属福利机构负责实施，政府供养保障对象照料费用严格执行市民政及市财政的统一标准，各福利机构结合各院照料人员的特点每年制定各院照料人员经费开支明细标准并向市福利中心进行备案。</w:t>
      </w:r>
    </w:p>
    <w:p w14:paraId="7AE57E32"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）保障市属殡葬单位清明节工作顺利进行、爱国主义基地正常运转</w:t>
      </w:r>
      <w:r>
        <w:rPr>
          <w:rFonts w:ascii="仿宋_GB2312" w:eastAsia="仿宋_GB2312" w:hAnsi="仿宋_GB2312" w:cs="仿宋_GB2312" w:hint="eastAsia"/>
          <w:sz w:val="32"/>
          <w:szCs w:val="32"/>
        </w:rPr>
        <w:t>等</w:t>
      </w:r>
    </w:p>
    <w:p w14:paraId="6FA931D8"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该项工作涵盖</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个预算项目，项目实施中严格执行与项目实施内容相关的各项国家行业标准及法规，保障清明祭扫服务安全无事故，提高群众爱国主义思想教育。</w:t>
      </w:r>
    </w:p>
    <w:p w14:paraId="4DE09CE4"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）保障市直属福利企业困难残疾职工困难群体基本生活</w:t>
      </w:r>
    </w:p>
    <w:p w14:paraId="53975BCD"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该项工作涵盖</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个预算项目，由民政工业总公司牵头负责，项目实施中严格执行与项目实施内容相关的各项国家行业标准及法规。</w:t>
      </w:r>
    </w:p>
    <w:p w14:paraId="0CF13A12" w14:textId="77777777" w:rsidR="00414524" w:rsidRDefault="00E55B88">
      <w:pPr>
        <w:spacing w:line="600" w:lineRule="exact"/>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产出进度</w:t>
      </w:r>
    </w:p>
    <w:p w14:paraId="6F34FEAE"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年底除去部分受外部实施条件影响未能有效执行的项目外，其余项目基本按照年初计划实施周期实施完成；</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年度未能有效实施开展的项目涉及到的年度财政预算资金，市福利中心均已</w:t>
      </w:r>
      <w:r>
        <w:rPr>
          <w:rFonts w:ascii="仿宋_GB2312" w:eastAsia="仿宋_GB2312" w:hAnsi="仿宋_GB2312" w:cs="仿宋_GB2312" w:hint="eastAsia"/>
          <w:sz w:val="32"/>
          <w:szCs w:val="32"/>
        </w:rPr>
        <w:t>及时进行了预算调减并提前交回市财政，有效避免了财政资金的浪费。</w:t>
      </w:r>
    </w:p>
    <w:p w14:paraId="1897045E" w14:textId="77777777" w:rsidR="00414524" w:rsidRDefault="00E55B88">
      <w:pPr>
        <w:spacing w:line="600" w:lineRule="exact"/>
        <w:ind w:firstLineChars="200" w:firstLine="640"/>
        <w:outlineLvl w:val="1"/>
        <w:rPr>
          <w:rFonts w:ascii="仿宋_GB2312" w:eastAsia="仿宋_GB2312" w:hAnsi="仿宋"/>
          <w:sz w:val="32"/>
          <w:szCs w:val="32"/>
        </w:rPr>
      </w:pPr>
      <w:bookmarkStart w:id="11" w:name="_Toc32293"/>
      <w:r>
        <w:rPr>
          <w:rFonts w:ascii="楷体_GB2312" w:eastAsia="楷体_GB2312" w:hAnsi="楷体_GB2312" w:cs="楷体_GB2312" w:hint="eastAsia"/>
          <w:sz w:val="32"/>
          <w:szCs w:val="32"/>
        </w:rPr>
        <w:t>（二）产出成本情况分析</w:t>
      </w:r>
      <w:bookmarkEnd w:id="11"/>
    </w:p>
    <w:p w14:paraId="47CB9532" w14:textId="77777777"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市福利中心</w:t>
      </w:r>
      <w:r>
        <w:rPr>
          <w:rFonts w:ascii="仿宋_GB2312" w:eastAsia="仿宋_GB2312" w:hAnsi="仿宋" w:hint="eastAsia"/>
          <w:sz w:val="32"/>
          <w:szCs w:val="32"/>
        </w:rPr>
        <w:t>2024</w:t>
      </w:r>
      <w:r>
        <w:rPr>
          <w:rFonts w:ascii="仿宋_GB2312" w:eastAsia="仿宋_GB2312" w:hAnsi="仿宋" w:hint="eastAsia"/>
          <w:sz w:val="32"/>
          <w:szCs w:val="32"/>
        </w:rPr>
        <w:t>年度年初项目总数</w:t>
      </w:r>
      <w:r>
        <w:rPr>
          <w:rFonts w:ascii="仿宋_GB2312" w:eastAsia="仿宋_GB2312" w:hAnsi="仿宋" w:hint="eastAsia"/>
          <w:sz w:val="32"/>
          <w:szCs w:val="32"/>
        </w:rPr>
        <w:t>129</w:t>
      </w:r>
      <w:r>
        <w:rPr>
          <w:rFonts w:ascii="仿宋_GB2312" w:eastAsia="仿宋_GB2312" w:hAnsi="仿宋" w:hint="eastAsia"/>
          <w:sz w:val="32"/>
          <w:szCs w:val="32"/>
        </w:rPr>
        <w:t>个，全年预算</w:t>
      </w:r>
      <w:r>
        <w:rPr>
          <w:rFonts w:ascii="仿宋_GB2312" w:eastAsia="仿宋_GB2312" w:hAnsi="仿宋" w:hint="eastAsia"/>
          <w:sz w:val="32"/>
          <w:szCs w:val="32"/>
        </w:rPr>
        <w:lastRenderedPageBreak/>
        <w:t>调整后项目总数为</w:t>
      </w:r>
      <w:r>
        <w:rPr>
          <w:rFonts w:ascii="仿宋_GB2312" w:eastAsia="仿宋_GB2312" w:hAnsi="仿宋" w:hint="eastAsia"/>
          <w:sz w:val="32"/>
          <w:szCs w:val="32"/>
        </w:rPr>
        <w:t>144</w:t>
      </w:r>
      <w:r>
        <w:rPr>
          <w:rFonts w:ascii="仿宋_GB2312" w:eastAsia="仿宋_GB2312" w:hAnsi="仿宋" w:hint="eastAsia"/>
          <w:sz w:val="32"/>
          <w:szCs w:val="32"/>
        </w:rPr>
        <w:t>个，预算总额为</w:t>
      </w:r>
      <w:r>
        <w:rPr>
          <w:rFonts w:ascii="仿宋_GB2312" w:eastAsia="仿宋_GB2312" w:hAnsi="仿宋" w:hint="eastAsia"/>
          <w:sz w:val="32"/>
          <w:szCs w:val="32"/>
        </w:rPr>
        <w:t>104749.293500</w:t>
      </w:r>
      <w:r>
        <w:rPr>
          <w:rFonts w:ascii="仿宋_GB2312" w:eastAsia="仿宋_GB2312" w:hAnsi="仿宋" w:hint="eastAsia"/>
          <w:sz w:val="32"/>
          <w:szCs w:val="32"/>
        </w:rPr>
        <w:t>万元，全年实际到位金额</w:t>
      </w:r>
      <w:r>
        <w:rPr>
          <w:rFonts w:ascii="仿宋_GB2312" w:eastAsia="仿宋_GB2312" w:hAnsi="仿宋" w:hint="eastAsia"/>
          <w:sz w:val="32"/>
          <w:szCs w:val="32"/>
        </w:rPr>
        <w:t>104836.990067</w:t>
      </w:r>
      <w:r>
        <w:rPr>
          <w:rFonts w:ascii="仿宋_GB2312" w:eastAsia="仿宋_GB2312" w:hAnsi="仿宋" w:hint="eastAsia"/>
          <w:sz w:val="32"/>
          <w:szCs w:val="32"/>
        </w:rPr>
        <w:t>万元；其中：</w:t>
      </w:r>
      <w:r>
        <w:rPr>
          <w:rFonts w:ascii="仿宋_GB2312" w:eastAsia="仿宋_GB2312" w:hint="eastAsia"/>
          <w:sz w:val="32"/>
          <w:szCs w:val="32"/>
        </w:rPr>
        <w:t>市福利中心本级</w:t>
      </w:r>
      <w:r>
        <w:rPr>
          <w:rFonts w:ascii="仿宋_GB2312" w:eastAsia="仿宋_GB2312" w:hAnsi="仿宋" w:hint="eastAsia"/>
          <w:sz w:val="32"/>
          <w:szCs w:val="32"/>
        </w:rPr>
        <w:t>社会福利事务出国考察经费，</w:t>
      </w:r>
      <w:r>
        <w:rPr>
          <w:rFonts w:ascii="仿宋_GB2312" w:eastAsia="仿宋_GB2312" w:hint="eastAsia"/>
          <w:sz w:val="32"/>
          <w:szCs w:val="32"/>
        </w:rPr>
        <w:t>市福利中心</w:t>
      </w:r>
      <w:r>
        <w:rPr>
          <w:rFonts w:ascii="仿宋_GB2312" w:eastAsia="仿宋_GB2312" w:hAnsi="仿宋" w:hint="eastAsia"/>
          <w:sz w:val="32"/>
          <w:szCs w:val="32"/>
        </w:rPr>
        <w:t>房屋设施土地测绘、安全鉴定、消防检测项目，北京市儿童福利院专用设备及材料购置项目，北京市第二儿童福利院培训类项目均为财政资金，根据实施环境状况，未能有效实施已做财政资金交回，本次不参与评价；北京市养老护理照料示范中心安全运行经费项目为结转上年自有资金项目，去年已开展过评价，本次不再参与评价。</w:t>
      </w:r>
      <w:r>
        <w:rPr>
          <w:rFonts w:ascii="仿宋_GB2312" w:eastAsia="仿宋_GB2312" w:hAnsi="仿宋" w:hint="eastAsia"/>
          <w:sz w:val="32"/>
          <w:szCs w:val="32"/>
        </w:rPr>
        <w:t>2024</w:t>
      </w:r>
      <w:r>
        <w:rPr>
          <w:rFonts w:ascii="仿宋_GB2312" w:eastAsia="仿宋_GB2312" w:hAnsi="仿宋" w:hint="eastAsia"/>
          <w:sz w:val="32"/>
          <w:szCs w:val="32"/>
        </w:rPr>
        <w:t>年度全年实际实施项目</w:t>
      </w:r>
      <w:r>
        <w:rPr>
          <w:rFonts w:ascii="仿宋_GB2312" w:eastAsia="仿宋_GB2312" w:hAnsi="仿宋" w:hint="eastAsia"/>
          <w:sz w:val="32"/>
          <w:szCs w:val="32"/>
        </w:rPr>
        <w:t>139</w:t>
      </w:r>
      <w:r>
        <w:rPr>
          <w:rFonts w:ascii="仿宋_GB2312" w:eastAsia="仿宋_GB2312" w:hAnsi="仿宋" w:hint="eastAsia"/>
          <w:sz w:val="32"/>
          <w:szCs w:val="32"/>
        </w:rPr>
        <w:t>个，支出总额</w:t>
      </w:r>
      <w:r>
        <w:rPr>
          <w:rFonts w:ascii="仿宋_GB2312" w:eastAsia="仿宋_GB2312" w:hAnsi="仿宋" w:hint="eastAsia"/>
          <w:sz w:val="32"/>
          <w:szCs w:val="32"/>
        </w:rPr>
        <w:t>95211.646739</w:t>
      </w:r>
      <w:r>
        <w:rPr>
          <w:rFonts w:ascii="仿宋_GB2312" w:eastAsia="仿宋_GB2312" w:hAnsi="仿宋" w:hint="eastAsia"/>
          <w:sz w:val="32"/>
          <w:szCs w:val="32"/>
        </w:rPr>
        <w:t>万元，预算实际到位执行率为</w:t>
      </w:r>
      <w:r>
        <w:rPr>
          <w:rFonts w:ascii="仿宋_GB2312" w:eastAsia="仿宋_GB2312" w:hAnsi="仿宋" w:hint="eastAsia"/>
          <w:sz w:val="32"/>
          <w:szCs w:val="32"/>
        </w:rPr>
        <w:t>90.82%</w:t>
      </w:r>
      <w:r>
        <w:rPr>
          <w:rFonts w:ascii="仿宋_GB2312" w:eastAsia="仿宋_GB2312" w:hAnsi="仿宋" w:hint="eastAsia"/>
          <w:sz w:val="32"/>
          <w:szCs w:val="32"/>
        </w:rPr>
        <w:t>，年末结转结余均为未执行完的年中和年末追加调整的项目经费，上述追加经费已按照项目财政资金使用期限有效执行。</w:t>
      </w:r>
    </w:p>
    <w:p w14:paraId="6ACC8310" w14:textId="77777777" w:rsidR="00414524" w:rsidRDefault="00E55B88">
      <w:pPr>
        <w:spacing w:line="600" w:lineRule="exact"/>
        <w:ind w:firstLineChars="200" w:firstLine="640"/>
        <w:outlineLvl w:val="1"/>
        <w:rPr>
          <w:rFonts w:ascii="楷体_GB2312" w:eastAsia="楷体_GB2312" w:hAnsi="楷体_GB2312" w:cs="楷体_GB2312"/>
          <w:sz w:val="32"/>
          <w:szCs w:val="32"/>
        </w:rPr>
      </w:pPr>
      <w:bookmarkStart w:id="12" w:name="_Toc1212"/>
      <w:r>
        <w:rPr>
          <w:rFonts w:ascii="楷体_GB2312" w:eastAsia="楷体_GB2312" w:hAnsi="楷体_GB2312" w:cs="楷体_GB2312" w:hint="eastAsia"/>
          <w:sz w:val="32"/>
          <w:szCs w:val="32"/>
        </w:rPr>
        <w:t>（三</w:t>
      </w:r>
      <w:r>
        <w:rPr>
          <w:rFonts w:ascii="楷体_GB2312" w:eastAsia="楷体_GB2312" w:hAnsi="楷体_GB2312" w:cs="楷体_GB2312" w:hint="eastAsia"/>
          <w:sz w:val="32"/>
          <w:szCs w:val="32"/>
        </w:rPr>
        <w:t>）效果实现情况分析</w:t>
      </w:r>
      <w:bookmarkEnd w:id="12"/>
    </w:p>
    <w:p w14:paraId="046CC4E1" w14:textId="77777777"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经济效益</w:t>
      </w:r>
    </w:p>
    <w:p w14:paraId="4DF73C3A" w14:textId="77777777" w:rsidR="00414524" w:rsidRDefault="00E55B88">
      <w:pPr>
        <w:spacing w:line="600" w:lineRule="exact"/>
        <w:ind w:firstLineChars="200" w:firstLine="640"/>
        <w:rPr>
          <w:rFonts w:ascii="仿宋_GB2312" w:eastAsia="仿宋_GB2312" w:hAnsi="仿宋"/>
          <w:sz w:val="32"/>
          <w:szCs w:val="32"/>
          <w:highlight w:val="yellow"/>
        </w:rPr>
      </w:pPr>
      <w:r>
        <w:rPr>
          <w:rFonts w:ascii="仿宋_GB2312" w:eastAsia="仿宋_GB2312" w:hAnsi="仿宋" w:hint="eastAsia"/>
          <w:sz w:val="32"/>
          <w:szCs w:val="32"/>
        </w:rPr>
        <w:t>市福利中心通过聘用工作人员、保安人员、专业看护及照料人员，有效节约了各单位人员成本开支，提高了财政资金使用效率；设备购置、工程施工、信息化升级改造类项目均按照政府采购工作要求执行招投标等工作，有效降低了项目采购成本，提高了资金使用效益，提升了项目的经济效益。</w:t>
      </w:r>
    </w:p>
    <w:p w14:paraId="6C8AA367" w14:textId="77777777" w:rsidR="00414524" w:rsidRDefault="00E55B88">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社会效益</w:t>
      </w:r>
    </w:p>
    <w:p w14:paraId="6A4CD565" w14:textId="77777777" w:rsidR="00414524" w:rsidRDefault="00E55B88">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）保障单位日常运转，严格执行预算</w:t>
      </w:r>
    </w:p>
    <w:p w14:paraId="2E79C3BD" w14:textId="77777777"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①推动全面从严治党向纵深发展相关工作</w:t>
      </w:r>
    </w:p>
    <w:p w14:paraId="1142A5B2" w14:textId="7ACD608F"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财务及财务监督审计工作，保障民政资金使用效益，促进福利事业发展、预算编制更加科学，提高会计信息质量和财务核算及管理水平，预算执行更加规范，防止国有资产流失，及时发现工作中的错误和舞弊行为；党务、队伍建设及培训班工作，强化党员政治思想理论武装，提升党员干部综合能力和基层规范化管理水平，提高新时代北京</w:t>
      </w:r>
      <w:r>
        <w:rPr>
          <w:rFonts w:ascii="仿宋_GB2312" w:eastAsia="仿宋_GB2312" w:hAnsi="仿宋" w:hint="eastAsia"/>
          <w:sz w:val="32"/>
          <w:szCs w:val="32"/>
        </w:rPr>
        <w:t>民政系统意识形态及新闻宣传工作水平；</w:t>
      </w:r>
    </w:p>
    <w:p w14:paraId="42AC056A" w14:textId="77777777"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福利事务工作经费，保障市属福利机构服务质量及服务对象合法权益，公建民营养老机构安全稳定，提高职工身心健康水平，缓解职工职业倦怠，增强职业归属感和认同感；老干部活动经费</w:t>
      </w:r>
      <w:r>
        <w:rPr>
          <w:rFonts w:ascii="仿宋_GB2312" w:eastAsia="仿宋_GB2312" w:hAnsi="仿宋" w:hint="eastAsia"/>
          <w:sz w:val="32"/>
          <w:szCs w:val="32"/>
        </w:rPr>
        <w:t>，积极落实好《北京市老干部工作领导责任制》《北京市民政局老干部工作领导责任制》要求，进一步加强两项建设工作，落实好两项待遇，努力营造和谐氛围；福利企业残疾人文化建设经费更好地充实残疾职工的精神文化生活；特定目标类机动经费项目促进干部依法履职、规范用权。</w:t>
      </w:r>
    </w:p>
    <w:p w14:paraId="5A34790A" w14:textId="77777777"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②提升福利机构和殡葬单位服务保障能力</w:t>
      </w:r>
    </w:p>
    <w:p w14:paraId="180873EF" w14:textId="37E21836"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市福利中心及下属预算单位的机构运行保障类项目为福利机构及殡葬单位提供了安全保障，使院内的安全管理达到规范管理；维持各院良好的环境秩序，提升岗位技能及心理减压活动帮助员工缓解职业压力，提升职工身心健康，保障机关正常的办公秩</w:t>
      </w:r>
      <w:r>
        <w:rPr>
          <w:rFonts w:ascii="仿宋_GB2312" w:eastAsia="仿宋_GB2312" w:hAnsi="仿宋" w:hint="eastAsia"/>
          <w:sz w:val="32"/>
          <w:szCs w:val="32"/>
        </w:rPr>
        <w:t>序和生活秩序，提高院区消防安全保障程度、财务电子化水平及医疗服务，可以快速精准地查阅会</w:t>
      </w:r>
      <w:r w:rsidR="005625F6">
        <w:rPr>
          <w:rFonts w:ascii="仿宋_GB2312" w:eastAsia="仿宋_GB2312" w:hAnsi="仿宋" w:hint="eastAsia"/>
          <w:sz w:val="32"/>
          <w:szCs w:val="32"/>
        </w:rPr>
        <w:lastRenderedPageBreak/>
        <w:t>计档案信息。</w:t>
      </w:r>
      <w:r w:rsidR="005625F6">
        <w:rPr>
          <w:rFonts w:ascii="仿宋_GB2312" w:eastAsia="仿宋_GB2312" w:hAnsi="仿宋"/>
          <w:sz w:val="32"/>
          <w:szCs w:val="32"/>
        </w:rPr>
        <w:t xml:space="preserve"> </w:t>
      </w:r>
    </w:p>
    <w:p w14:paraId="38F57F6B"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③深入推进市属福利机构社会化改革发展，积极稳妥推进市属殡葬单位改革</w:t>
      </w:r>
    </w:p>
    <w:p w14:paraId="4359195D"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 w:hint="eastAsia"/>
          <w:sz w:val="32"/>
          <w:szCs w:val="32"/>
        </w:rPr>
        <w:t>市福利中心及</w:t>
      </w:r>
      <w:r>
        <w:rPr>
          <w:rFonts w:ascii="仿宋_GB2312" w:eastAsia="仿宋_GB2312" w:hAnsi="仿宋_GB2312" w:cs="仿宋_GB2312" w:hint="eastAsia"/>
          <w:sz w:val="32"/>
          <w:szCs w:val="32"/>
        </w:rPr>
        <w:t>下属各福利院采购药品、医用耗材及实验室设备的购置，为院内职工和政府供养保障对象提供了康复治疗用药，发挥综合医疗机构作用，保障医疗业务顺利有序开展；</w:t>
      </w:r>
    </w:p>
    <w:p w14:paraId="4AA44B52" w14:textId="58DCBFB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北京市第一社会福利院项目尾款和北京市东郊殡仪馆平屋面防水修缮工程项目消除屋面漏水的问题，极大提高老年人和职工的居</w:t>
      </w:r>
      <w:r>
        <w:rPr>
          <w:rFonts w:ascii="仿宋_GB2312" w:eastAsia="仿宋_GB2312" w:hAnsi="仿宋_GB2312" w:cs="仿宋_GB2312" w:hint="eastAsia"/>
          <w:sz w:val="32"/>
          <w:szCs w:val="32"/>
        </w:rPr>
        <w:t>住质量及人员安全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北京市第一社会福利院地下管沟暖气管道更新工程、</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号楼设备层生活热水管道抢修工程、</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号楼地下车库、电动自行车棚阳光板抢修工程，保障老人生活用水质量、院内职工及到院家属停车安全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北京市第三社会福利院专用设备及材料购置项目在病房楼加装封闭楼梯间更换防火门和护栏提升安全应急及疏散能力；北京市社会福利医院项目尾款和购置救护车项目提高应对突发事件的卫生应急能力，为医院诊断、治疗、教学等提供硬件条件保障；</w:t>
      </w:r>
      <w:r>
        <w:rPr>
          <w:rFonts w:ascii="仿宋_GB2312" w:eastAsia="仿宋_GB2312" w:hAnsi="仿宋_GB2312" w:cs="仿宋_GB2312" w:hint="eastAsia"/>
          <w:sz w:val="32"/>
          <w:szCs w:val="32"/>
        </w:rPr>
        <w:t>北京市第三社会福利院</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号病房楼装修改造及室外消防改造工程，北京市儿童福利院居室楼、医疗楼装修改造工程，北京市八宝山革命公墓浴室及南门卫生间改造工程、北山围墙维修改造及排水雨洪利用工程，北京市东郊殡仪馆告别厅及火化车间仿古修缮工程等均有效保障了</w:t>
      </w:r>
      <w:r>
        <w:rPr>
          <w:rFonts w:ascii="仿宋_GB2312" w:eastAsia="仿宋_GB2312" w:hAnsi="仿宋_GB2312" w:cs="仿宋_GB2312" w:hint="eastAsia"/>
          <w:sz w:val="32"/>
          <w:szCs w:val="32"/>
        </w:rPr>
        <w:t>单位日常工作需要，消除一部分安全隐患，提升了市属</w:t>
      </w:r>
      <w:r>
        <w:rPr>
          <w:rFonts w:ascii="仿宋_GB2312" w:eastAsia="仿宋_GB2312" w:hAnsi="仿宋_GB2312" w:cs="仿宋_GB2312" w:hint="eastAsia"/>
          <w:sz w:val="32"/>
          <w:szCs w:val="32"/>
        </w:rPr>
        <w:t>福利机构</w:t>
      </w:r>
      <w:r>
        <w:rPr>
          <w:rFonts w:ascii="仿宋_GB2312" w:eastAsia="仿宋_GB2312" w:hAnsi="仿宋_GB2312" w:cs="仿宋_GB2312" w:hint="eastAsia"/>
          <w:sz w:val="32"/>
          <w:szCs w:val="32"/>
        </w:rPr>
        <w:lastRenderedPageBreak/>
        <w:t>和</w:t>
      </w:r>
      <w:r>
        <w:rPr>
          <w:rFonts w:ascii="仿宋_GB2312" w:eastAsia="仿宋_GB2312" w:hAnsi="仿宋_GB2312" w:cs="仿宋_GB2312" w:hint="eastAsia"/>
          <w:sz w:val="32"/>
          <w:szCs w:val="32"/>
        </w:rPr>
        <w:t>殡葬单位整体形象。</w:t>
      </w:r>
    </w:p>
    <w:p w14:paraId="5AF692E0" w14:textId="77777777"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④保障网络信息化规范运行，单位日常正常运营</w:t>
      </w:r>
    </w:p>
    <w:p w14:paraId="69790BD4" w14:textId="77777777"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_GB2312" w:cs="仿宋_GB2312" w:hint="eastAsia"/>
          <w:sz w:val="32"/>
          <w:szCs w:val="32"/>
        </w:rPr>
        <w:t>市福利中心及下属各福利机构信息系统运维类项目</w:t>
      </w:r>
      <w:r>
        <w:rPr>
          <w:rFonts w:ascii="仿宋_GB2312" w:eastAsia="仿宋_GB2312" w:hAnsi="仿宋" w:hint="eastAsia"/>
          <w:sz w:val="32"/>
          <w:szCs w:val="32"/>
        </w:rPr>
        <w:t>有效满足员工及被照料人员上网需求，确保信息化各项系统正常运行，工作正常运转。</w:t>
      </w:r>
    </w:p>
    <w:p w14:paraId="5ABA8147"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⑤提升殡葬单位服务保障</w:t>
      </w:r>
      <w:r>
        <w:rPr>
          <w:rFonts w:ascii="仿宋_GB2312" w:eastAsia="仿宋_GB2312" w:hAnsi="仿宋_GB2312" w:cs="仿宋_GB2312" w:hint="eastAsia"/>
          <w:sz w:val="32"/>
          <w:szCs w:val="32"/>
        </w:rPr>
        <w:t>能力</w:t>
      </w:r>
    </w:p>
    <w:p w14:paraId="16DD084C" w14:textId="77777777" w:rsidR="00414524" w:rsidRDefault="00E55B88">
      <w:pPr>
        <w:spacing w:line="600" w:lineRule="exact"/>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sz w:val="32"/>
          <w:szCs w:val="32"/>
        </w:rPr>
        <w:t>市福利中心下属</w:t>
      </w:r>
      <w:r>
        <w:rPr>
          <w:rFonts w:ascii="仿宋_GB2312" w:eastAsia="仿宋_GB2312" w:hAnsi="仿宋_GB2312" w:cs="仿宋_GB2312" w:hint="eastAsia"/>
          <w:sz w:val="32"/>
          <w:szCs w:val="32"/>
        </w:rPr>
        <w:t>各</w:t>
      </w:r>
      <w:r>
        <w:rPr>
          <w:rFonts w:ascii="仿宋_GB2312" w:eastAsia="仿宋_GB2312" w:hAnsi="仿宋_GB2312" w:cs="仿宋_GB2312"/>
          <w:sz w:val="32"/>
          <w:szCs w:val="32"/>
        </w:rPr>
        <w:t>殡葬</w:t>
      </w:r>
      <w:r>
        <w:rPr>
          <w:rFonts w:ascii="仿宋_GB2312" w:eastAsia="仿宋_GB2312" w:hAnsi="仿宋_GB2312" w:cs="仿宋_GB2312" w:hint="eastAsia"/>
          <w:sz w:val="32"/>
          <w:szCs w:val="32"/>
        </w:rPr>
        <w:t>单位的丧葬经营成本项目推动了单位的各项工作，保障了各殡葬单位管辖墓区的安全与稳定，日常管理和维护等工作。</w:t>
      </w:r>
    </w:p>
    <w:p w14:paraId="5C9ABAD9" w14:textId="77777777" w:rsidR="00414524" w:rsidRDefault="00E55B88">
      <w:pPr>
        <w:spacing w:line="600" w:lineRule="exact"/>
        <w:ind w:firstLineChars="200" w:firstLine="640"/>
        <w:rPr>
          <w:rFonts w:ascii="仿宋_GB2312" w:eastAsia="仿宋_GB2312" w:hAnsi="仿宋"/>
          <w:sz w:val="32"/>
          <w:szCs w:val="32"/>
        </w:rPr>
      </w:pPr>
      <w:bookmarkStart w:id="13" w:name="_GoBack"/>
      <w:bookmarkEnd w:id="13"/>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）保障机</w:t>
      </w:r>
      <w:r>
        <w:rPr>
          <w:rFonts w:ascii="仿宋_GB2312" w:eastAsia="仿宋_GB2312" w:hAnsi="仿宋" w:hint="eastAsia"/>
          <w:sz w:val="32"/>
          <w:szCs w:val="32"/>
        </w:rPr>
        <w:t>构内政府供养保障对象生活，提升福利机构服务保障能力，持续做好养老机构服务保障工作</w:t>
      </w:r>
    </w:p>
    <w:p w14:paraId="0EC26FBB" w14:textId="77777777"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市福利中心下属福利机构的保障经费类项目满足了政府供养保障对象生活的基本需求，即其基本生活、医疗、后勤等均得到了良好的保障，维护了社会的和谐与稳定，减轻了社会压力，提升了政府部门的影响力和公信力。</w:t>
      </w:r>
    </w:p>
    <w:p w14:paraId="227AFCA3" w14:textId="77777777"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hint="eastAsia"/>
          <w:sz w:val="32"/>
          <w:szCs w:val="32"/>
        </w:rPr>
        <w:t>3</w:t>
      </w:r>
      <w:r>
        <w:rPr>
          <w:rFonts w:ascii="仿宋_GB2312" w:eastAsia="仿宋_GB2312" w:hAnsi="仿宋" w:hint="eastAsia"/>
          <w:sz w:val="32"/>
          <w:szCs w:val="32"/>
        </w:rPr>
        <w:t>）保障市属殡葬单位清明节工作顺利进行、爱国主义基地正常运转等</w:t>
      </w:r>
    </w:p>
    <w:p w14:paraId="091B2C4B" w14:textId="77777777" w:rsidR="00414524" w:rsidRDefault="00E55B88">
      <w:pPr>
        <w:spacing w:line="600" w:lineRule="exact"/>
        <w:ind w:firstLineChars="200" w:firstLine="640"/>
        <w:rPr>
          <w:rFonts w:ascii="仿宋_GB2312" w:eastAsia="仿宋_GB2312" w:hAnsi="仿宋"/>
          <w:sz w:val="32"/>
          <w:szCs w:val="32"/>
          <w:highlight w:val="yellow"/>
        </w:rPr>
      </w:pPr>
      <w:r>
        <w:rPr>
          <w:rFonts w:ascii="仿宋_GB2312" w:eastAsia="仿宋_GB2312" w:hAnsi="仿宋"/>
          <w:sz w:val="32"/>
          <w:szCs w:val="32"/>
        </w:rPr>
        <w:t>该项工作有效服务</w:t>
      </w:r>
      <w:r>
        <w:rPr>
          <w:rFonts w:ascii="仿宋_GB2312" w:eastAsia="仿宋_GB2312" w:hAnsi="仿宋" w:hint="eastAsia"/>
          <w:sz w:val="32"/>
          <w:szCs w:val="32"/>
        </w:rPr>
        <w:t>了</w:t>
      </w:r>
      <w:r>
        <w:rPr>
          <w:rFonts w:ascii="仿宋_GB2312" w:eastAsia="仿宋_GB2312" w:hAnsi="仿宋"/>
          <w:sz w:val="32"/>
          <w:szCs w:val="32"/>
        </w:rPr>
        <w:t>祭扫群众，</w:t>
      </w:r>
      <w:r>
        <w:rPr>
          <w:rFonts w:ascii="仿宋_GB2312" w:eastAsia="仿宋_GB2312" w:hAnsi="仿宋" w:hint="eastAsia"/>
          <w:sz w:val="32"/>
          <w:szCs w:val="32"/>
        </w:rPr>
        <w:t>丰富了宣传方式，</w:t>
      </w:r>
      <w:r>
        <w:rPr>
          <w:rFonts w:ascii="仿宋_GB2312" w:eastAsia="仿宋_GB2312" w:hAnsi="仿宋"/>
          <w:sz w:val="32"/>
          <w:szCs w:val="32"/>
        </w:rPr>
        <w:t>提高了</w:t>
      </w:r>
      <w:r>
        <w:rPr>
          <w:rFonts w:ascii="仿宋_GB2312" w:eastAsia="仿宋_GB2312" w:hAnsi="仿宋" w:hint="eastAsia"/>
          <w:sz w:val="32"/>
          <w:szCs w:val="32"/>
        </w:rPr>
        <w:t>爱国主义教育基地的</w:t>
      </w:r>
      <w:r>
        <w:rPr>
          <w:rFonts w:ascii="仿宋_GB2312" w:eastAsia="仿宋_GB2312" w:hAnsi="仿宋"/>
          <w:sz w:val="32"/>
          <w:szCs w:val="32"/>
        </w:rPr>
        <w:t>宣传度，深度挖掘革命事迹大力传承红色基因</w:t>
      </w:r>
      <w:r>
        <w:rPr>
          <w:rFonts w:ascii="仿宋_GB2312" w:eastAsia="仿宋_GB2312" w:hAnsi="仿宋" w:hint="eastAsia"/>
          <w:sz w:val="32"/>
          <w:szCs w:val="32"/>
        </w:rPr>
        <w:t>，</w:t>
      </w:r>
      <w:r>
        <w:rPr>
          <w:rFonts w:ascii="仿宋_GB2312" w:eastAsia="仿宋_GB2312" w:hAnsi="仿宋"/>
          <w:sz w:val="32"/>
          <w:szCs w:val="32"/>
        </w:rPr>
        <w:t>使教育基地的参观者接受到爱国主义教育，</w:t>
      </w:r>
      <w:r>
        <w:rPr>
          <w:rFonts w:ascii="仿宋_GB2312" w:eastAsia="仿宋_GB2312" w:hAnsi="仿宋" w:hint="eastAsia"/>
          <w:sz w:val="32"/>
          <w:szCs w:val="32"/>
        </w:rPr>
        <w:t>为祭扫人员提供更舒适的祭扫环境，营造平安、便利、文明、和谐的清明祭扫氛围，提升爱国主义教育基地的作用。</w:t>
      </w:r>
    </w:p>
    <w:p w14:paraId="02C6DBA9"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）保障市直属福利企业困难残疾职工困难群体基本</w:t>
      </w:r>
      <w:r>
        <w:rPr>
          <w:rFonts w:ascii="仿宋_GB2312" w:eastAsia="仿宋_GB2312" w:hAnsi="仿宋_GB2312" w:cs="仿宋_GB2312" w:hint="eastAsia"/>
          <w:sz w:val="32"/>
          <w:szCs w:val="32"/>
        </w:rPr>
        <w:lastRenderedPageBreak/>
        <w:t>生活</w:t>
      </w:r>
    </w:p>
    <w:p w14:paraId="003389A3"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直属福利企业下岗残疾职工生活补助费及困难群体生活补助费，一定程度上保障了困难群体的基本生活水平，维护了首都社会和福利企业的和谐稳定；维护了困难及残疾职工家庭的稳定，缓解了基层困难企业的资金压力，维护了福利企业的和谐稳定及首都社会和谐稳定。</w:t>
      </w:r>
    </w:p>
    <w:p w14:paraId="560E7AFB"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生态效益</w:t>
      </w:r>
    </w:p>
    <w:p w14:paraId="0C16177F"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信息系统运维类项目的实施采用增加视频会议的方式，减少了纸张使用，实行了低碳绿色环保办公；日常保障经费项目开展绿化养护、消电检等预防火灾发生，养护绿化环境；骨灰堂室寄业务减少墓区安葬占地，增加绿化面积；骨</w:t>
      </w:r>
      <w:r>
        <w:rPr>
          <w:rFonts w:ascii="仿宋_GB2312" w:eastAsia="仿宋_GB2312" w:hAnsi="仿宋_GB2312" w:cs="仿宋_GB2312" w:hint="eastAsia"/>
          <w:sz w:val="32"/>
          <w:szCs w:val="32"/>
        </w:rPr>
        <w:t>灰海葬补贴项目改善园区环境，节地生态安葬，减少墓区安葬占地。</w:t>
      </w:r>
    </w:p>
    <w:p w14:paraId="5B13B49E" w14:textId="77777777" w:rsidR="00414524" w:rsidRDefault="00E55B88">
      <w:pPr>
        <w:spacing w:line="600" w:lineRule="exact"/>
        <w:ind w:firstLineChars="200" w:firstLine="640"/>
        <w:outlineLvl w:val="0"/>
        <w:rPr>
          <w:rFonts w:ascii="黑体" w:eastAsia="黑体" w:hAnsi="黑体" w:cs="宋体"/>
          <w:bCs/>
          <w:kern w:val="0"/>
          <w:sz w:val="32"/>
          <w:szCs w:val="32"/>
        </w:rPr>
      </w:pPr>
      <w:bookmarkStart w:id="14" w:name="_Toc5734"/>
      <w:r>
        <w:rPr>
          <w:rFonts w:ascii="黑体" w:eastAsia="黑体" w:hAnsi="黑体" w:cs="宋体" w:hint="eastAsia"/>
          <w:bCs/>
          <w:kern w:val="0"/>
          <w:sz w:val="32"/>
          <w:szCs w:val="32"/>
        </w:rPr>
        <w:t>四、预算管理情况分析</w:t>
      </w:r>
      <w:bookmarkEnd w:id="14"/>
    </w:p>
    <w:p w14:paraId="47F58FD2" w14:textId="77777777" w:rsidR="00414524" w:rsidRDefault="00E55B88">
      <w:pPr>
        <w:spacing w:line="600" w:lineRule="exact"/>
        <w:ind w:firstLineChars="200" w:firstLine="640"/>
        <w:outlineLvl w:val="1"/>
        <w:rPr>
          <w:rFonts w:ascii="楷体_GB2312" w:eastAsia="楷体_GB2312"/>
          <w:sz w:val="32"/>
          <w:szCs w:val="32"/>
        </w:rPr>
      </w:pPr>
      <w:bookmarkStart w:id="15" w:name="_Toc3850"/>
      <w:r>
        <w:rPr>
          <w:rFonts w:ascii="楷体_GB2312" w:eastAsia="楷体_GB2312" w:hint="eastAsia"/>
          <w:sz w:val="32"/>
          <w:szCs w:val="32"/>
        </w:rPr>
        <w:t>（一）财务管理</w:t>
      </w:r>
      <w:bookmarkEnd w:id="15"/>
    </w:p>
    <w:p w14:paraId="4089CFA7" w14:textId="77777777" w:rsidR="00414524" w:rsidRDefault="00E55B88">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财务管理制度健全性</w:t>
      </w:r>
    </w:p>
    <w:p w14:paraId="34E58E7D"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 w:hint="eastAsia"/>
          <w:sz w:val="32"/>
          <w:szCs w:val="32"/>
        </w:rPr>
        <w:t>市福利中心</w:t>
      </w:r>
      <w:r>
        <w:rPr>
          <w:rFonts w:ascii="仿宋_GB2312" w:eastAsia="仿宋_GB2312" w:hAnsi="宋体" w:cs="宋体" w:hint="eastAsia"/>
          <w:kern w:val="0"/>
          <w:sz w:val="32"/>
          <w:szCs w:val="32"/>
        </w:rPr>
        <w:t>建立健全了各项财务管理制度，主要包括《管理制度汇编》和《财务工作手册》。《管理制度汇编》和《财务工作手册》对资金支付、绩效管理、项目评审、预算决算、大额资金、会议费管理、财务报销管理、捐赠款物管理、财会人员岗位职责、财务票据管理等事项进行了详细规定</w:t>
      </w:r>
      <w:r>
        <w:rPr>
          <w:rFonts w:ascii="仿宋_GB2312" w:eastAsia="仿宋_GB2312" w:hAnsi="宋体" w:cs="宋体"/>
          <w:kern w:val="0"/>
          <w:sz w:val="32"/>
          <w:szCs w:val="32"/>
        </w:rPr>
        <w:t>，</w:t>
      </w:r>
      <w:r>
        <w:rPr>
          <w:rFonts w:ascii="仿宋_GB2312" w:eastAsia="仿宋_GB2312" w:hAnsi="宋体" w:cs="宋体" w:hint="eastAsia"/>
          <w:kern w:val="0"/>
          <w:sz w:val="32"/>
          <w:szCs w:val="32"/>
        </w:rPr>
        <w:t>并根据市财政局、市税务局、市统计局及国家相关政策调整情况及时进行修订和更新。</w:t>
      </w:r>
    </w:p>
    <w:p w14:paraId="1EF5EE01" w14:textId="77777777" w:rsidR="00414524" w:rsidRDefault="00E55B88">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2.</w:t>
      </w:r>
      <w:r>
        <w:rPr>
          <w:rFonts w:ascii="仿宋_GB2312" w:eastAsia="仿宋_GB2312" w:hAnsi="宋体" w:cs="宋体" w:hint="eastAsia"/>
          <w:kern w:val="0"/>
          <w:sz w:val="32"/>
          <w:szCs w:val="32"/>
        </w:rPr>
        <w:t>资金使用合规性和安全性</w:t>
      </w:r>
    </w:p>
    <w:p w14:paraId="48D708CE" w14:textId="77777777" w:rsidR="00414524" w:rsidRDefault="00E55B88">
      <w:pPr>
        <w:adjustRightInd w:val="0"/>
        <w:snapToGrid w:val="0"/>
        <w:spacing w:line="600" w:lineRule="exact"/>
        <w:ind w:firstLineChars="200" w:firstLine="640"/>
        <w:rPr>
          <w:rFonts w:ascii="仿宋_GB2312" w:eastAsia="仿宋_GB2312" w:hAnsi="华文仿宋"/>
          <w:sz w:val="32"/>
          <w:szCs w:val="32"/>
        </w:rPr>
      </w:pPr>
      <w:r>
        <w:rPr>
          <w:rFonts w:ascii="仿宋_GB2312" w:eastAsia="仿宋_GB2312" w:hAnsi="宋体" w:cs="宋体" w:hint="eastAsia"/>
          <w:kern w:val="0"/>
          <w:sz w:val="32"/>
          <w:szCs w:val="32"/>
        </w:rPr>
        <w:t>为保障资金安全，</w:t>
      </w:r>
      <w:r>
        <w:rPr>
          <w:rFonts w:ascii="仿宋_GB2312" w:eastAsia="仿宋_GB2312" w:hAnsi="仿宋" w:hint="eastAsia"/>
          <w:sz w:val="32"/>
          <w:szCs w:val="32"/>
        </w:rPr>
        <w:t>市福利中心</w:t>
      </w:r>
      <w:r>
        <w:rPr>
          <w:rFonts w:ascii="仿宋_GB2312" w:eastAsia="仿宋_GB2312" w:hAnsi="华文仿宋"/>
          <w:sz w:val="32"/>
          <w:szCs w:val="32"/>
        </w:rPr>
        <w:t>建立了财务集成系统，</w:t>
      </w:r>
      <w:r>
        <w:rPr>
          <w:rFonts w:ascii="仿宋_GB2312" w:eastAsia="仿宋_GB2312" w:hAnsi="华文仿宋" w:hint="eastAsia"/>
          <w:sz w:val="32"/>
          <w:szCs w:val="32"/>
        </w:rPr>
        <w:t>支出均要通过财务集成系统进行审批</w:t>
      </w:r>
      <w:r>
        <w:rPr>
          <w:rFonts w:ascii="仿宋_GB2312" w:eastAsia="仿宋_GB2312" w:hAnsi="华文仿宋"/>
          <w:sz w:val="32"/>
          <w:szCs w:val="32"/>
        </w:rPr>
        <w:t>。</w:t>
      </w:r>
      <w:r>
        <w:rPr>
          <w:rFonts w:ascii="仿宋_GB2312" w:eastAsia="仿宋_GB2312" w:hAnsi="华文仿宋" w:hint="eastAsia"/>
          <w:sz w:val="32"/>
          <w:szCs w:val="32"/>
        </w:rPr>
        <w:t>按照归口管理原则，每笔经济业务由各基层单位（处室）申请人提出申请，经过单位（处室）、</w:t>
      </w:r>
      <w:r>
        <w:rPr>
          <w:rFonts w:ascii="仿宋_GB2312" w:eastAsia="仿宋_GB2312" w:hAnsi="仿宋" w:hint="eastAsia"/>
          <w:sz w:val="32"/>
          <w:szCs w:val="32"/>
        </w:rPr>
        <w:t>市福利中心</w:t>
      </w:r>
      <w:r>
        <w:rPr>
          <w:rFonts w:ascii="仿宋_GB2312" w:eastAsia="仿宋_GB2312" w:hAnsi="华文仿宋" w:hint="eastAsia"/>
          <w:sz w:val="32"/>
          <w:szCs w:val="32"/>
        </w:rPr>
        <w:t>计财处和</w:t>
      </w:r>
      <w:r>
        <w:rPr>
          <w:rFonts w:ascii="仿宋_GB2312" w:eastAsia="仿宋_GB2312" w:hAnsi="仿宋" w:hint="eastAsia"/>
          <w:sz w:val="32"/>
          <w:szCs w:val="32"/>
        </w:rPr>
        <w:t>相关领导、</w:t>
      </w:r>
      <w:r>
        <w:rPr>
          <w:rFonts w:ascii="仿宋_GB2312" w:eastAsia="仿宋_GB2312" w:hAnsi="华文仿宋" w:hint="eastAsia"/>
          <w:sz w:val="32"/>
          <w:szCs w:val="32"/>
        </w:rPr>
        <w:t>办公室和相关领导逐级审核、审批，最后再回归申请人，形成审批事项的闭环管理。同时以现有财务一体化为支撑，通过该系统对资金支付实行源头管理，大力推行网银、微信、支付宝收付款和公务卡结算，减少现金、支票的使用，将每一分钱都纳入</w:t>
      </w:r>
      <w:r>
        <w:rPr>
          <w:rFonts w:ascii="仿宋_GB2312" w:eastAsia="仿宋_GB2312" w:hAnsi="仿宋" w:hint="eastAsia"/>
          <w:sz w:val="32"/>
          <w:szCs w:val="32"/>
        </w:rPr>
        <w:t>市福利中心</w:t>
      </w:r>
      <w:r>
        <w:rPr>
          <w:rFonts w:ascii="仿宋_GB2312" w:eastAsia="仿宋_GB2312" w:hAnsi="华文仿宋" w:hint="eastAsia"/>
          <w:sz w:val="32"/>
          <w:szCs w:val="32"/>
        </w:rPr>
        <w:t>监管范围，建立起资金支付全过程监督管理的运行机制，实现资金管理的信息化、规范化，确保预算的总体控制和单位资</w:t>
      </w:r>
      <w:r>
        <w:rPr>
          <w:rFonts w:ascii="仿宋_GB2312" w:eastAsia="仿宋_GB2312" w:hAnsi="华文仿宋" w:hint="eastAsia"/>
          <w:sz w:val="32"/>
          <w:szCs w:val="32"/>
        </w:rPr>
        <w:t>金运行的安全</w:t>
      </w:r>
      <w:r>
        <w:rPr>
          <w:rFonts w:ascii="仿宋_GB2312" w:eastAsia="仿宋_GB2312" w:hAnsi="华文仿宋"/>
          <w:sz w:val="32"/>
          <w:szCs w:val="32"/>
        </w:rPr>
        <w:t>性</w:t>
      </w:r>
      <w:r>
        <w:rPr>
          <w:rFonts w:ascii="仿宋_GB2312" w:eastAsia="仿宋_GB2312" w:hAnsi="华文仿宋" w:hint="eastAsia"/>
          <w:sz w:val="32"/>
          <w:szCs w:val="32"/>
        </w:rPr>
        <w:t>、合规</w:t>
      </w:r>
      <w:r>
        <w:rPr>
          <w:rFonts w:ascii="仿宋_GB2312" w:eastAsia="仿宋_GB2312" w:hAnsi="华文仿宋"/>
          <w:sz w:val="32"/>
          <w:szCs w:val="32"/>
        </w:rPr>
        <w:t>性</w:t>
      </w:r>
      <w:r>
        <w:rPr>
          <w:rFonts w:ascii="仿宋_GB2312" w:eastAsia="仿宋_GB2312" w:hAnsi="华文仿宋" w:hint="eastAsia"/>
          <w:sz w:val="32"/>
          <w:szCs w:val="32"/>
        </w:rPr>
        <w:t>和有效</w:t>
      </w:r>
      <w:r>
        <w:rPr>
          <w:rFonts w:ascii="仿宋_GB2312" w:eastAsia="仿宋_GB2312" w:hAnsi="华文仿宋"/>
          <w:sz w:val="32"/>
          <w:szCs w:val="32"/>
        </w:rPr>
        <w:t>性</w:t>
      </w:r>
      <w:r>
        <w:rPr>
          <w:rFonts w:ascii="仿宋_GB2312" w:eastAsia="仿宋_GB2312" w:hAnsi="华文仿宋" w:hint="eastAsia"/>
          <w:sz w:val="32"/>
          <w:szCs w:val="32"/>
        </w:rPr>
        <w:t>。</w:t>
      </w:r>
    </w:p>
    <w:p w14:paraId="61FCA8FF" w14:textId="77777777" w:rsidR="00414524" w:rsidRDefault="00E55B88">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会计基础信息完善性</w:t>
      </w:r>
    </w:p>
    <w:p w14:paraId="3A42A78C" w14:textId="77777777" w:rsidR="00414524" w:rsidRDefault="00E55B88">
      <w:pPr>
        <w:spacing w:line="600" w:lineRule="exact"/>
        <w:ind w:firstLineChars="200" w:firstLine="640"/>
        <w:rPr>
          <w:rFonts w:ascii="仿宋_GB2312" w:eastAsia="仿宋_GB2312" w:hAnsi="宋体" w:cs="宋体"/>
          <w:kern w:val="0"/>
          <w:sz w:val="32"/>
          <w:szCs w:val="32"/>
        </w:rPr>
      </w:pPr>
      <w:r>
        <w:rPr>
          <w:rFonts w:ascii="仿宋_GB2312" w:eastAsia="仿宋_GB2312" w:hAnsi="仿宋" w:hint="eastAsia"/>
          <w:sz w:val="32"/>
          <w:szCs w:val="32"/>
        </w:rPr>
        <w:t>市福利中心</w:t>
      </w:r>
      <w:r>
        <w:rPr>
          <w:rFonts w:ascii="仿宋_GB2312" w:eastAsia="仿宋_GB2312" w:hAnsi="宋体" w:cs="宋体" w:hint="eastAsia"/>
          <w:kern w:val="0"/>
          <w:sz w:val="32"/>
          <w:szCs w:val="32"/>
        </w:rPr>
        <w:t>根据《会计法》《事业单位财务制度》《事业单位财务规则》及其他相关规定，出台了</w:t>
      </w:r>
      <w:r>
        <w:rPr>
          <w:rFonts w:ascii="仿宋_GB2312" w:eastAsia="仿宋_GB2312" w:hAnsi="仿宋" w:hint="eastAsia"/>
          <w:sz w:val="32"/>
          <w:szCs w:val="32"/>
        </w:rPr>
        <w:t>市福利中心</w:t>
      </w:r>
      <w:r>
        <w:rPr>
          <w:rFonts w:ascii="仿宋_GB2312" w:eastAsia="仿宋_GB2312" w:hAnsi="宋体" w:cs="宋体" w:hint="eastAsia"/>
          <w:kern w:val="0"/>
          <w:sz w:val="32"/>
          <w:szCs w:val="32"/>
        </w:rPr>
        <w:t>《事业单位会计核算制度》《会计档案管理制度》《财务报告管理制度》等相关财务管理制度，并设置了出纳、会计、稽核等岗位，配备了相应人员；</w:t>
      </w:r>
      <w:r>
        <w:rPr>
          <w:rFonts w:ascii="仿宋_GB2312" w:eastAsia="仿宋_GB2312" w:hAnsi="仿宋" w:hint="eastAsia"/>
          <w:sz w:val="32"/>
          <w:szCs w:val="32"/>
        </w:rPr>
        <w:t>市福利中心</w:t>
      </w:r>
      <w:r>
        <w:rPr>
          <w:rFonts w:ascii="仿宋_GB2312" w:eastAsia="仿宋_GB2312" w:hAnsi="宋体" w:cs="宋体" w:hint="eastAsia"/>
          <w:kern w:val="0"/>
          <w:sz w:val="32"/>
          <w:szCs w:val="32"/>
        </w:rPr>
        <w:t>严格按照事业单位相关会计制度进行核算，出具会计报表、报告等等；已实现了</w:t>
      </w:r>
      <w:r>
        <w:rPr>
          <w:rFonts w:ascii="仿宋_GB2312" w:eastAsia="仿宋_GB2312" w:hAnsi="宋体" w:cs="宋体"/>
          <w:kern w:val="0"/>
          <w:sz w:val="32"/>
          <w:szCs w:val="32"/>
        </w:rPr>
        <w:t>会计档案</w:t>
      </w:r>
      <w:r>
        <w:rPr>
          <w:rFonts w:ascii="仿宋_GB2312" w:eastAsia="仿宋_GB2312" w:hAnsi="宋体" w:cs="宋体" w:hint="eastAsia"/>
          <w:kern w:val="0"/>
          <w:sz w:val="32"/>
          <w:szCs w:val="32"/>
        </w:rPr>
        <w:t>的电子化管理，确保所有原始资料完整可溯。</w:t>
      </w:r>
    </w:p>
    <w:p w14:paraId="683BA803" w14:textId="77777777" w:rsidR="00414524" w:rsidRDefault="00E55B88">
      <w:pPr>
        <w:spacing w:line="600" w:lineRule="exact"/>
        <w:ind w:firstLineChars="200" w:firstLine="640"/>
        <w:outlineLvl w:val="1"/>
        <w:rPr>
          <w:rFonts w:ascii="楷体_GB2312" w:eastAsia="楷体_GB2312"/>
          <w:sz w:val="32"/>
          <w:szCs w:val="32"/>
        </w:rPr>
      </w:pPr>
      <w:bookmarkStart w:id="16" w:name="_Toc611"/>
      <w:r>
        <w:rPr>
          <w:rFonts w:ascii="楷体_GB2312" w:eastAsia="楷体_GB2312" w:hint="eastAsia"/>
          <w:sz w:val="32"/>
          <w:szCs w:val="32"/>
        </w:rPr>
        <w:t>（二）资产管理</w:t>
      </w:r>
      <w:bookmarkEnd w:id="16"/>
    </w:p>
    <w:p w14:paraId="2E6CD947"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市福利中心制定了《北京市社会福利事务管理中心重大财务事项审批管理实施细则》《北京</w:t>
      </w:r>
      <w:r>
        <w:rPr>
          <w:rFonts w:ascii="仿宋_GB2312" w:eastAsia="仿宋_GB2312" w:hAnsi="仿宋_GB2312" w:cs="仿宋_GB2312" w:hint="eastAsia"/>
          <w:sz w:val="32"/>
          <w:szCs w:val="32"/>
        </w:rPr>
        <w:t>市社会福利事务管理中</w:t>
      </w:r>
      <w:r>
        <w:rPr>
          <w:rFonts w:ascii="仿宋_GB2312" w:eastAsia="仿宋_GB2312" w:hAnsi="仿宋_GB2312" w:cs="仿宋_GB2312" w:hint="eastAsia"/>
          <w:sz w:val="32"/>
          <w:szCs w:val="32"/>
        </w:rPr>
        <w:lastRenderedPageBreak/>
        <w:t>心综合财务管理制度》《北京市社会福利事务管理中心资金支付管理办法》《北京市社会福利事务管理中心国有资产管理办法》《北京市社会福利事务管理中心固定资产管理办法》《北京市社会福利事务管理中心存货管理办法》等各项资产管理制度，并在部门工作中基本得到执行，固定资产出入库手续健全、定期盘点。</w:t>
      </w:r>
    </w:p>
    <w:p w14:paraId="1468B8AD" w14:textId="77777777" w:rsidR="00414524" w:rsidRDefault="00E55B8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年末市福利中心资产总额为</w:t>
      </w:r>
      <w:r>
        <w:rPr>
          <w:rFonts w:ascii="仿宋_GB2312" w:eastAsia="仿宋_GB2312" w:hAnsi="仿宋_GB2312" w:cs="仿宋_GB2312"/>
          <w:sz w:val="32"/>
          <w:szCs w:val="32"/>
        </w:rPr>
        <w:t>418579.09</w:t>
      </w:r>
      <w:r>
        <w:rPr>
          <w:rFonts w:ascii="仿宋_GB2312" w:eastAsia="仿宋_GB2312" w:hAnsi="仿宋_GB2312" w:cs="仿宋_GB2312" w:hint="eastAsia"/>
          <w:sz w:val="32"/>
          <w:szCs w:val="32"/>
        </w:rPr>
        <w:t>万元。其中：本级资产</w:t>
      </w:r>
      <w:r>
        <w:rPr>
          <w:rFonts w:ascii="仿宋_GB2312" w:eastAsia="仿宋_GB2312" w:hAnsi="仿宋_GB2312" w:cs="仿宋_GB2312"/>
          <w:sz w:val="32"/>
          <w:szCs w:val="32"/>
        </w:rPr>
        <w:t>43840.03</w:t>
      </w:r>
      <w:r>
        <w:rPr>
          <w:rFonts w:ascii="仿宋_GB2312" w:eastAsia="仿宋_GB2312" w:hAnsi="仿宋_GB2312" w:cs="仿宋_GB2312" w:hint="eastAsia"/>
          <w:sz w:val="32"/>
          <w:szCs w:val="32"/>
        </w:rPr>
        <w:t>万元，包括流动资产</w:t>
      </w:r>
      <w:r>
        <w:rPr>
          <w:rFonts w:ascii="仿宋_GB2312" w:eastAsia="仿宋_GB2312" w:hAnsi="仿宋_GB2312" w:cs="仿宋_GB2312"/>
          <w:sz w:val="32"/>
          <w:szCs w:val="32"/>
        </w:rPr>
        <w:t>8408.19</w:t>
      </w:r>
      <w:r>
        <w:rPr>
          <w:rFonts w:ascii="仿宋_GB2312" w:eastAsia="仿宋_GB2312" w:hAnsi="仿宋_GB2312" w:cs="仿宋_GB2312" w:hint="eastAsia"/>
          <w:sz w:val="32"/>
          <w:szCs w:val="32"/>
        </w:rPr>
        <w:t>万元，固定资产净值</w:t>
      </w:r>
      <w:r>
        <w:rPr>
          <w:rFonts w:ascii="仿宋_GB2312" w:eastAsia="仿宋_GB2312" w:hAnsi="仿宋_GB2312" w:cs="仿宋_GB2312"/>
          <w:sz w:val="32"/>
          <w:szCs w:val="32"/>
        </w:rPr>
        <w:t>35403.19</w:t>
      </w:r>
      <w:r>
        <w:rPr>
          <w:rFonts w:ascii="仿宋_GB2312" w:eastAsia="仿宋_GB2312" w:hAnsi="仿宋_GB2312" w:cs="仿宋_GB2312" w:hint="eastAsia"/>
          <w:sz w:val="32"/>
          <w:szCs w:val="32"/>
        </w:rPr>
        <w:t>万元；下属事业单位资产</w:t>
      </w:r>
      <w:r>
        <w:rPr>
          <w:rFonts w:ascii="仿宋_GB2312" w:eastAsia="仿宋_GB2312" w:hAnsi="仿宋_GB2312" w:cs="仿宋_GB2312"/>
          <w:sz w:val="32"/>
          <w:szCs w:val="32"/>
        </w:rPr>
        <w:t>374739.06</w:t>
      </w:r>
      <w:r>
        <w:rPr>
          <w:rFonts w:ascii="仿宋_GB2312" w:eastAsia="仿宋_GB2312" w:hAnsi="仿宋_GB2312" w:cs="仿宋_GB2312" w:hint="eastAsia"/>
          <w:sz w:val="32"/>
          <w:szCs w:val="32"/>
        </w:rPr>
        <w:t>万元，包括流动资产</w:t>
      </w:r>
      <w:r>
        <w:rPr>
          <w:rFonts w:ascii="仿宋_GB2312" w:eastAsia="仿宋_GB2312" w:hAnsi="仿宋_GB2312" w:cs="仿宋_GB2312"/>
          <w:sz w:val="32"/>
          <w:szCs w:val="32"/>
        </w:rPr>
        <w:t>86374.52</w:t>
      </w:r>
      <w:r>
        <w:rPr>
          <w:rFonts w:ascii="仿宋_GB2312" w:eastAsia="仿宋_GB2312" w:hAnsi="仿宋_GB2312" w:cs="仿宋_GB2312" w:hint="eastAsia"/>
          <w:sz w:val="32"/>
          <w:szCs w:val="32"/>
        </w:rPr>
        <w:t>万元，固定资产净值</w:t>
      </w:r>
      <w:r>
        <w:rPr>
          <w:rFonts w:ascii="仿宋_GB2312" w:eastAsia="仿宋_GB2312" w:hAnsi="仿宋_GB2312" w:cs="仿宋_GB2312"/>
          <w:sz w:val="32"/>
          <w:szCs w:val="32"/>
        </w:rPr>
        <w:t>150824.77</w:t>
      </w:r>
      <w:r>
        <w:rPr>
          <w:rFonts w:ascii="仿宋_GB2312" w:eastAsia="仿宋_GB2312" w:hAnsi="仿宋_GB2312" w:cs="仿宋_GB2312" w:hint="eastAsia"/>
          <w:sz w:val="32"/>
          <w:szCs w:val="32"/>
        </w:rPr>
        <w:t>万元，在建工程</w:t>
      </w:r>
      <w:r>
        <w:rPr>
          <w:rFonts w:ascii="仿宋_GB2312" w:eastAsia="仿宋_GB2312" w:hAnsi="仿宋_GB2312" w:cs="仿宋_GB2312"/>
          <w:sz w:val="32"/>
          <w:szCs w:val="32"/>
        </w:rPr>
        <w:t>119164.19</w:t>
      </w:r>
      <w:r>
        <w:rPr>
          <w:rFonts w:ascii="仿宋_GB2312" w:eastAsia="仿宋_GB2312" w:hAnsi="仿宋_GB2312" w:cs="仿宋_GB2312" w:hint="eastAsia"/>
          <w:sz w:val="32"/>
          <w:szCs w:val="32"/>
        </w:rPr>
        <w:t>万元，无形资产净值</w:t>
      </w:r>
      <w:r>
        <w:rPr>
          <w:rFonts w:ascii="仿宋_GB2312" w:eastAsia="仿宋_GB2312" w:hAnsi="仿宋_GB2312" w:cs="仿宋_GB2312"/>
          <w:sz w:val="32"/>
          <w:szCs w:val="32"/>
        </w:rPr>
        <w:t>798.94</w:t>
      </w:r>
      <w:r>
        <w:rPr>
          <w:rFonts w:ascii="仿宋_GB2312" w:eastAsia="仿宋_GB2312" w:hAnsi="仿宋_GB2312" w:cs="仿宋_GB2312" w:hint="eastAsia"/>
          <w:sz w:val="32"/>
          <w:szCs w:val="32"/>
        </w:rPr>
        <w:t>万元。截至</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年底，市福利中心共有车辆</w:t>
      </w:r>
      <w:r>
        <w:rPr>
          <w:rFonts w:ascii="仿宋_GB2312" w:eastAsia="仿宋_GB2312" w:hAnsi="仿宋_GB2312" w:cs="仿宋_GB2312"/>
          <w:sz w:val="32"/>
          <w:szCs w:val="32"/>
        </w:rPr>
        <w:t>148</w:t>
      </w:r>
      <w:r>
        <w:rPr>
          <w:rFonts w:ascii="仿宋_GB2312" w:eastAsia="仿宋_GB2312" w:hAnsi="仿宋_GB2312" w:cs="仿宋_GB2312" w:hint="eastAsia"/>
          <w:sz w:val="32"/>
          <w:szCs w:val="32"/>
        </w:rPr>
        <w:t>台。</w:t>
      </w:r>
    </w:p>
    <w:p w14:paraId="43A6E50C" w14:textId="77777777" w:rsidR="00414524" w:rsidRDefault="00E55B88">
      <w:pPr>
        <w:spacing w:line="600" w:lineRule="exact"/>
        <w:ind w:firstLineChars="200" w:firstLine="640"/>
        <w:outlineLvl w:val="1"/>
        <w:rPr>
          <w:rFonts w:ascii="楷体_GB2312" w:eastAsia="楷体_GB2312"/>
          <w:sz w:val="32"/>
          <w:szCs w:val="32"/>
        </w:rPr>
      </w:pPr>
      <w:bookmarkStart w:id="17" w:name="_Toc7675"/>
      <w:r>
        <w:rPr>
          <w:rFonts w:ascii="楷体_GB2312" w:eastAsia="楷体_GB2312" w:hint="eastAsia"/>
          <w:sz w:val="32"/>
          <w:szCs w:val="32"/>
        </w:rPr>
        <w:t>（三）绩效管理</w:t>
      </w:r>
      <w:bookmarkEnd w:id="17"/>
    </w:p>
    <w:p w14:paraId="0EF9F1E8" w14:textId="77777777" w:rsidR="00414524" w:rsidRDefault="00E55B88">
      <w:pPr>
        <w:pStyle w:val="a3"/>
        <w:ind w:firstLineChars="200" w:firstLine="640"/>
      </w:pPr>
      <w:r>
        <w:rPr>
          <w:rFonts w:ascii="仿宋_GB2312" w:eastAsia="仿宋_GB2312" w:hAnsi="Calibri" w:hint="eastAsia"/>
          <w:sz w:val="32"/>
          <w:szCs w:val="32"/>
        </w:rPr>
        <w:t>1.</w:t>
      </w:r>
      <w:r>
        <w:rPr>
          <w:rFonts w:ascii="仿宋_GB2312" w:eastAsia="仿宋_GB2312" w:hAnsi="Calibri" w:hint="eastAsia"/>
          <w:sz w:val="32"/>
          <w:szCs w:val="32"/>
        </w:rPr>
        <w:t>加强组织领导</w:t>
      </w:r>
    </w:p>
    <w:p w14:paraId="55BB3D50" w14:textId="77777777" w:rsidR="00414524" w:rsidRDefault="00E55B88">
      <w:pPr>
        <w:spacing w:line="600" w:lineRule="exact"/>
        <w:ind w:firstLineChars="200" w:firstLine="640"/>
        <w:rPr>
          <w:rFonts w:ascii="仿宋_GB2312" w:eastAsia="仿宋_GB2312" w:hAnsi="Calibri"/>
          <w:sz w:val="32"/>
          <w:szCs w:val="32"/>
        </w:rPr>
      </w:pPr>
      <w:r>
        <w:rPr>
          <w:rFonts w:ascii="仿宋_GB2312" w:eastAsia="仿宋_GB2312" w:hAnsi="Calibri" w:hint="eastAsia"/>
          <w:sz w:val="32"/>
          <w:szCs w:val="32"/>
        </w:rPr>
        <w:t>市福利中心</w:t>
      </w:r>
      <w:r>
        <w:rPr>
          <w:rFonts w:ascii="仿宋_GB2312" w:eastAsia="仿宋_GB2312" w:hAnsi="仿宋" w:hint="eastAsia"/>
          <w:sz w:val="32"/>
          <w:szCs w:val="32"/>
        </w:rPr>
        <w:t>从</w:t>
      </w:r>
      <w:r>
        <w:rPr>
          <w:rFonts w:ascii="仿宋_GB2312" w:eastAsia="仿宋_GB2312" w:hAnsi="仿宋" w:hint="eastAsia"/>
          <w:sz w:val="32"/>
          <w:szCs w:val="32"/>
        </w:rPr>
        <w:t>2014</w:t>
      </w:r>
      <w:r>
        <w:rPr>
          <w:rFonts w:ascii="仿宋_GB2312" w:eastAsia="仿宋_GB2312" w:hAnsi="仿宋" w:hint="eastAsia"/>
          <w:sz w:val="32"/>
          <w:szCs w:val="32"/>
        </w:rPr>
        <w:t>年起被确定为绩效管理试点部门，预算项目全部实施绩效管理。</w:t>
      </w:r>
      <w:r>
        <w:rPr>
          <w:rFonts w:ascii="仿宋_GB2312" w:eastAsia="仿宋_GB2312" w:hAnsi="Calibri" w:hint="eastAsia"/>
          <w:sz w:val="32"/>
          <w:szCs w:val="32"/>
        </w:rPr>
        <w:t>为确保年度部门绩效管理工作的顺利开展，市福利中心成立预算绩效工作领导小组，</w:t>
      </w:r>
      <w:r>
        <w:rPr>
          <w:rFonts w:ascii="仿宋_GB2312" w:eastAsia="仿宋_GB2312" w:hAnsi="仿宋" w:hint="eastAsia"/>
          <w:sz w:val="32"/>
          <w:szCs w:val="32"/>
        </w:rPr>
        <w:t>协调各业务处室及下属单位的绩效管理工作，并根据部门工作职责，将部门年度绩效目标分解到市福利中心本级及下属</w:t>
      </w:r>
      <w:r>
        <w:rPr>
          <w:rFonts w:ascii="仿宋_GB2312" w:eastAsia="仿宋_GB2312" w:hAnsi="仿宋" w:hint="eastAsia"/>
          <w:sz w:val="32"/>
          <w:szCs w:val="32"/>
        </w:rPr>
        <w:t>16</w:t>
      </w:r>
      <w:r>
        <w:rPr>
          <w:rFonts w:ascii="仿宋_GB2312" w:eastAsia="仿宋_GB2312" w:hAnsi="仿宋" w:hint="eastAsia"/>
          <w:sz w:val="32"/>
          <w:szCs w:val="32"/>
        </w:rPr>
        <w:t>个预算单位，并指定专人负责绩效管理</w:t>
      </w:r>
      <w:r>
        <w:rPr>
          <w:rFonts w:ascii="仿宋_GB2312" w:eastAsia="仿宋_GB2312" w:hAnsi="仿宋" w:hint="eastAsia"/>
          <w:sz w:val="32"/>
          <w:szCs w:val="32"/>
        </w:rPr>
        <w:t>工作。</w:t>
      </w:r>
    </w:p>
    <w:p w14:paraId="7345DCA6" w14:textId="77777777" w:rsidR="00414524" w:rsidRDefault="00E55B88">
      <w:pPr>
        <w:spacing w:line="600" w:lineRule="exact"/>
        <w:ind w:firstLineChars="200" w:firstLine="640"/>
        <w:rPr>
          <w:rFonts w:ascii="仿宋_GB2312" w:eastAsia="仿宋_GB2312" w:hAnsi="Calibri"/>
          <w:sz w:val="32"/>
          <w:szCs w:val="32"/>
        </w:rPr>
      </w:pPr>
      <w:r>
        <w:rPr>
          <w:rFonts w:ascii="仿宋_GB2312" w:eastAsia="仿宋_GB2312" w:hint="eastAsia"/>
          <w:sz w:val="32"/>
          <w:szCs w:val="32"/>
        </w:rPr>
        <w:t>由</w:t>
      </w:r>
      <w:r>
        <w:rPr>
          <w:rFonts w:ascii="仿宋_GB2312" w:eastAsia="仿宋_GB2312" w:hAnsi="仿宋" w:hint="eastAsia"/>
          <w:sz w:val="32"/>
          <w:szCs w:val="32"/>
        </w:rPr>
        <w:t>市福利中心</w:t>
      </w:r>
      <w:r>
        <w:rPr>
          <w:rFonts w:ascii="仿宋_GB2312" w:eastAsia="仿宋_GB2312" w:hint="eastAsia"/>
          <w:sz w:val="32"/>
          <w:szCs w:val="32"/>
        </w:rPr>
        <w:t>计财处与</w:t>
      </w:r>
      <w:r>
        <w:rPr>
          <w:rFonts w:ascii="仿宋_GB2312" w:eastAsia="仿宋_GB2312" w:hAnsi="Calibri" w:hint="eastAsia"/>
          <w:sz w:val="32"/>
          <w:szCs w:val="32"/>
        </w:rPr>
        <w:t>第三方机构共同组成了绩效工作组，负责绩效工作的日常管理和过程监督，并定期向领导小组汇报工作开展情况，领导小组听取汇报后，讨论解决工</w:t>
      </w:r>
      <w:r>
        <w:rPr>
          <w:rFonts w:ascii="仿宋_GB2312" w:eastAsia="仿宋_GB2312" w:hAnsi="Calibri" w:hint="eastAsia"/>
          <w:sz w:val="32"/>
          <w:szCs w:val="32"/>
        </w:rPr>
        <w:lastRenderedPageBreak/>
        <w:t>作过程中发现的重大问题，为全年度绩效管理工作提供了有力的组织保障。</w:t>
      </w:r>
    </w:p>
    <w:p w14:paraId="4B74966C" w14:textId="77777777" w:rsidR="00414524" w:rsidRDefault="00E55B88">
      <w:pPr>
        <w:spacing w:line="600" w:lineRule="exact"/>
        <w:ind w:firstLineChars="200" w:firstLine="640"/>
        <w:rPr>
          <w:rFonts w:ascii="仿宋_GB2312" w:eastAsia="仿宋_GB2312" w:hAnsi="Calibri"/>
          <w:sz w:val="32"/>
          <w:szCs w:val="32"/>
        </w:rPr>
      </w:pPr>
      <w:r>
        <w:rPr>
          <w:rFonts w:ascii="仿宋_GB2312" w:eastAsia="仿宋_GB2312" w:hAnsi="Calibri" w:hint="eastAsia"/>
          <w:sz w:val="32"/>
          <w:szCs w:val="32"/>
        </w:rPr>
        <w:t>2.</w:t>
      </w:r>
      <w:r>
        <w:rPr>
          <w:rFonts w:ascii="仿宋_GB2312" w:eastAsia="仿宋_GB2312" w:hAnsi="Calibri" w:hint="eastAsia"/>
          <w:sz w:val="32"/>
          <w:szCs w:val="32"/>
        </w:rPr>
        <w:t>加强组织培训</w:t>
      </w:r>
    </w:p>
    <w:p w14:paraId="5A41B580" w14:textId="77777777" w:rsidR="00414524" w:rsidRDefault="00E55B88">
      <w:pPr>
        <w:spacing w:line="600" w:lineRule="exact"/>
        <w:ind w:firstLineChars="200" w:firstLine="640"/>
        <w:rPr>
          <w:rFonts w:ascii="仿宋_GB2312" w:eastAsia="仿宋_GB2312" w:hAnsi="Calibri"/>
          <w:sz w:val="32"/>
          <w:szCs w:val="32"/>
        </w:rPr>
      </w:pPr>
      <w:r>
        <w:rPr>
          <w:rFonts w:ascii="仿宋_GB2312" w:eastAsia="仿宋_GB2312" w:hAnsi="Calibri" w:hint="eastAsia"/>
          <w:sz w:val="32"/>
          <w:szCs w:val="32"/>
        </w:rPr>
        <w:t>市福利中心聘请第三方中介机构对有需求的</w:t>
      </w:r>
      <w:r>
        <w:rPr>
          <w:rFonts w:ascii="仿宋_GB2312" w:eastAsia="仿宋_GB2312" w:hAnsi="仿宋" w:hint="eastAsia"/>
          <w:sz w:val="32"/>
          <w:szCs w:val="32"/>
        </w:rPr>
        <w:t>市福利中心</w:t>
      </w:r>
      <w:r>
        <w:rPr>
          <w:rFonts w:ascii="仿宋_GB2312" w:eastAsia="仿宋_GB2312" w:hAnsi="宋体" w:hint="eastAsia"/>
          <w:sz w:val="32"/>
          <w:szCs w:val="32"/>
        </w:rPr>
        <w:t>下属各单位开展</w:t>
      </w:r>
      <w:r>
        <w:rPr>
          <w:rFonts w:ascii="仿宋_GB2312" w:eastAsia="仿宋_GB2312" w:hAnsi="Calibri" w:hint="eastAsia"/>
          <w:sz w:val="32"/>
          <w:szCs w:val="32"/>
        </w:rPr>
        <w:t>预算绩效管理工作培训，详细了解绩效管理工作的目的、意义、工作流程及相关要求，进一步增强了各单位对绩效管理工作的认识，强化了绩效自觉意识。</w:t>
      </w:r>
    </w:p>
    <w:p w14:paraId="3B5B6C60" w14:textId="77777777" w:rsidR="00414524" w:rsidRDefault="00E55B88">
      <w:pPr>
        <w:spacing w:line="600" w:lineRule="exact"/>
        <w:ind w:firstLineChars="200" w:firstLine="640"/>
        <w:rPr>
          <w:rFonts w:ascii="仿宋_GB2312" w:eastAsia="仿宋_GB2312" w:hAnsi="Calibri"/>
          <w:sz w:val="32"/>
          <w:szCs w:val="32"/>
        </w:rPr>
      </w:pPr>
      <w:r>
        <w:rPr>
          <w:rFonts w:ascii="仿宋_GB2312" w:eastAsia="仿宋_GB2312" w:hAnsi="Calibri" w:hint="eastAsia"/>
          <w:sz w:val="32"/>
          <w:szCs w:val="32"/>
        </w:rPr>
        <w:t>3.</w:t>
      </w:r>
      <w:r>
        <w:rPr>
          <w:rFonts w:ascii="仿宋_GB2312" w:eastAsia="仿宋_GB2312" w:hAnsi="Calibri" w:hint="eastAsia"/>
          <w:sz w:val="32"/>
          <w:szCs w:val="32"/>
        </w:rPr>
        <w:t>强化过程监督</w:t>
      </w:r>
    </w:p>
    <w:p w14:paraId="715D7A58" w14:textId="77777777" w:rsidR="00414524" w:rsidRDefault="00E55B88">
      <w:pPr>
        <w:spacing w:line="600" w:lineRule="exact"/>
        <w:ind w:firstLineChars="200" w:firstLine="640"/>
        <w:rPr>
          <w:rFonts w:ascii="仿宋_GB2312" w:eastAsia="仿宋_GB2312" w:hAnsi="Calibri"/>
          <w:sz w:val="32"/>
          <w:szCs w:val="32"/>
        </w:rPr>
      </w:pPr>
      <w:r>
        <w:rPr>
          <w:rFonts w:ascii="仿宋_GB2312" w:eastAsia="仿宋_GB2312" w:hAnsi="Calibri" w:hint="eastAsia"/>
          <w:sz w:val="32"/>
          <w:szCs w:val="32"/>
        </w:rPr>
        <w:t>为保证绩效管理工作的有序开展，市福利中心通过事前绩效评估、事中绩效监控、事后绩效评价等手段，确保绩效管理贯穿项目实施的全过程。</w:t>
      </w:r>
      <w:r>
        <w:rPr>
          <w:rFonts w:ascii="仿宋_GB2312" w:eastAsia="仿宋_GB2312" w:hAnsi="仿宋" w:hint="eastAsia"/>
          <w:sz w:val="32"/>
          <w:szCs w:val="32"/>
        </w:rPr>
        <w:t>各业务处室及下属单位根据部门绩效目标分解任务，定期对照检查本处室单位绩效管理工作进展情况，较好地实现了部门各项绩效目标。</w:t>
      </w:r>
    </w:p>
    <w:p w14:paraId="1628D341" w14:textId="77777777" w:rsidR="00414524" w:rsidRDefault="00E55B88">
      <w:pPr>
        <w:spacing w:line="600" w:lineRule="exact"/>
        <w:ind w:firstLineChars="200" w:firstLine="640"/>
        <w:outlineLvl w:val="1"/>
        <w:rPr>
          <w:rFonts w:ascii="楷体_GB2312" w:eastAsia="楷体_GB2312"/>
          <w:sz w:val="32"/>
          <w:szCs w:val="32"/>
        </w:rPr>
      </w:pPr>
      <w:bookmarkStart w:id="18" w:name="_Toc509"/>
      <w:r>
        <w:rPr>
          <w:rFonts w:ascii="楷体_GB2312" w:eastAsia="楷体_GB2312" w:hint="eastAsia"/>
          <w:sz w:val="32"/>
          <w:szCs w:val="32"/>
        </w:rPr>
        <w:t>（四）结转结余率</w:t>
      </w:r>
      <w:bookmarkEnd w:id="18"/>
    </w:p>
    <w:p w14:paraId="7A433342" w14:textId="77777777" w:rsidR="00414524" w:rsidRDefault="00E55B88">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市福利中心</w:t>
      </w:r>
      <w:r>
        <w:rPr>
          <w:rFonts w:ascii="仿宋_GB2312" w:eastAsia="仿宋_GB2312" w:hAnsi="仿宋" w:hint="eastAsia"/>
          <w:sz w:val="32"/>
          <w:szCs w:val="32"/>
        </w:rPr>
        <w:t>2024</w:t>
      </w:r>
      <w:r>
        <w:rPr>
          <w:rFonts w:ascii="仿宋_GB2312" w:eastAsia="仿宋_GB2312" w:hAnsi="仿宋" w:hint="eastAsia"/>
          <w:sz w:val="32"/>
          <w:szCs w:val="32"/>
        </w:rPr>
        <w:t>年末结转和结余金额为</w:t>
      </w:r>
      <w:r>
        <w:rPr>
          <w:rFonts w:ascii="仿宋_GB2312" w:eastAsia="仿宋_GB2312" w:hAnsi="仿宋" w:hint="eastAsia"/>
          <w:sz w:val="32"/>
          <w:szCs w:val="32"/>
        </w:rPr>
        <w:t>65119.23</w:t>
      </w:r>
      <w:r>
        <w:rPr>
          <w:rFonts w:ascii="仿宋_GB2312" w:eastAsia="仿宋_GB2312" w:hAnsi="仿宋" w:hint="eastAsia"/>
          <w:sz w:val="32"/>
          <w:szCs w:val="32"/>
        </w:rPr>
        <w:t>万元，其中：年末财政拨款结转和结余</w:t>
      </w:r>
      <w:r>
        <w:rPr>
          <w:rFonts w:ascii="仿宋_GB2312" w:eastAsia="仿宋_GB2312" w:hAnsi="仿宋" w:hint="eastAsia"/>
          <w:sz w:val="32"/>
          <w:szCs w:val="32"/>
        </w:rPr>
        <w:t>6419.71</w:t>
      </w:r>
      <w:r>
        <w:rPr>
          <w:rFonts w:ascii="仿宋_GB2312" w:eastAsia="仿宋_GB2312" w:hAnsi="仿宋" w:hint="eastAsia"/>
          <w:sz w:val="32"/>
          <w:szCs w:val="32"/>
        </w:rPr>
        <w:t>万元，年末财政结转结余金额占当年度收入总额的</w:t>
      </w:r>
      <w:r>
        <w:rPr>
          <w:rFonts w:ascii="仿宋_GB2312" w:eastAsia="仿宋_GB2312" w:hAnsi="仿宋" w:hint="eastAsia"/>
          <w:sz w:val="32"/>
          <w:szCs w:val="32"/>
        </w:rPr>
        <w:t>4.24%</w:t>
      </w:r>
      <w:r>
        <w:rPr>
          <w:rFonts w:ascii="仿宋_GB2312" w:eastAsia="仿宋_GB2312" w:hAnsi="仿宋" w:hint="eastAsia"/>
          <w:sz w:val="32"/>
          <w:szCs w:val="32"/>
        </w:rPr>
        <w:t>；财政拨款结转结余主要为未执行完的财政拨款及年中追加调整项目经费，此部分追加经费已在</w:t>
      </w:r>
      <w:r>
        <w:rPr>
          <w:rFonts w:ascii="仿宋_GB2312" w:eastAsia="仿宋_GB2312" w:hAnsi="仿宋" w:hint="eastAsia"/>
          <w:sz w:val="32"/>
          <w:szCs w:val="32"/>
        </w:rPr>
        <w:t>2025</w:t>
      </w:r>
      <w:r>
        <w:rPr>
          <w:rFonts w:ascii="仿宋_GB2312" w:eastAsia="仿宋_GB2312" w:hAnsi="仿宋" w:hint="eastAsia"/>
          <w:sz w:val="32"/>
          <w:szCs w:val="32"/>
        </w:rPr>
        <w:t>年</w:t>
      </w:r>
      <w:r>
        <w:rPr>
          <w:rFonts w:ascii="仿宋_GB2312" w:eastAsia="仿宋_GB2312" w:hAnsi="仿宋" w:hint="eastAsia"/>
          <w:sz w:val="32"/>
          <w:szCs w:val="32"/>
        </w:rPr>
        <w:t>4</w:t>
      </w:r>
      <w:r>
        <w:rPr>
          <w:rFonts w:ascii="仿宋_GB2312" w:eastAsia="仿宋_GB2312" w:hAnsi="仿宋" w:hint="eastAsia"/>
          <w:sz w:val="32"/>
          <w:szCs w:val="32"/>
        </w:rPr>
        <w:t>月底前执行完毕。</w:t>
      </w:r>
    </w:p>
    <w:p w14:paraId="5F53E763" w14:textId="77777777" w:rsidR="00414524" w:rsidRDefault="00E55B88">
      <w:pPr>
        <w:spacing w:line="600" w:lineRule="exact"/>
        <w:ind w:firstLineChars="200" w:firstLine="640"/>
        <w:outlineLvl w:val="1"/>
        <w:rPr>
          <w:rFonts w:ascii="楷体_GB2312" w:eastAsia="楷体_GB2312"/>
          <w:sz w:val="32"/>
          <w:szCs w:val="32"/>
        </w:rPr>
      </w:pPr>
      <w:bookmarkStart w:id="19" w:name="_Toc10890"/>
      <w:r>
        <w:rPr>
          <w:rFonts w:ascii="楷体_GB2312" w:eastAsia="楷体_GB2312" w:hint="eastAsia"/>
          <w:sz w:val="32"/>
          <w:szCs w:val="32"/>
        </w:rPr>
        <w:t>（五）部门预决算差异率</w:t>
      </w:r>
      <w:bookmarkEnd w:id="19"/>
    </w:p>
    <w:p w14:paraId="64ACB89E" w14:textId="77777777" w:rsidR="00414524" w:rsidRDefault="00E55B88">
      <w:pPr>
        <w:spacing w:line="600" w:lineRule="exact"/>
        <w:ind w:firstLineChars="200" w:firstLine="640"/>
        <w:rPr>
          <w:rFonts w:ascii="仿宋_GB2312" w:eastAsia="仿宋_GB2312" w:hAnsi="仿宋"/>
          <w:sz w:val="32"/>
          <w:szCs w:val="32"/>
        </w:rPr>
      </w:pPr>
      <w:r>
        <w:rPr>
          <w:rFonts w:ascii="仿宋_GB2312" w:eastAsia="仿宋_GB2312" w:hint="eastAsia"/>
          <w:sz w:val="32"/>
          <w:szCs w:val="32"/>
        </w:rPr>
        <w:t>1.</w:t>
      </w:r>
      <w:r>
        <w:rPr>
          <w:rFonts w:ascii="仿宋_GB2312" w:eastAsia="仿宋_GB2312" w:hint="eastAsia"/>
          <w:sz w:val="32"/>
          <w:szCs w:val="32"/>
        </w:rPr>
        <w:t>市福利中心</w:t>
      </w:r>
      <w:r>
        <w:rPr>
          <w:rFonts w:ascii="仿宋_GB2312" w:eastAsia="仿宋_GB2312" w:hint="eastAsia"/>
          <w:sz w:val="32"/>
          <w:szCs w:val="32"/>
        </w:rPr>
        <w:t>2024</w:t>
      </w:r>
      <w:r>
        <w:rPr>
          <w:rFonts w:ascii="仿宋_GB2312" w:eastAsia="仿宋_GB2312" w:hint="eastAsia"/>
          <w:sz w:val="32"/>
          <w:szCs w:val="32"/>
        </w:rPr>
        <w:t>年度预算</w:t>
      </w:r>
      <w:r>
        <w:rPr>
          <w:rFonts w:ascii="仿宋_GB2312" w:eastAsia="仿宋_GB2312" w:hAnsi="仿宋" w:hint="eastAsia"/>
          <w:sz w:val="32"/>
          <w:szCs w:val="32"/>
        </w:rPr>
        <w:t>、决算金额及差异情况详见下表：</w:t>
      </w:r>
      <w:r>
        <w:rPr>
          <w:rFonts w:ascii="仿宋_GB2312" w:eastAsia="仿宋_GB2312" w:hAnsi="仿宋" w:hint="eastAsia"/>
          <w:sz w:val="32"/>
          <w:szCs w:val="32"/>
        </w:rPr>
        <w:t xml:space="preserve">                                 </w:t>
      </w:r>
    </w:p>
    <w:p w14:paraId="184362D9" w14:textId="77777777" w:rsidR="00414524" w:rsidRDefault="00E55B88">
      <w:pPr>
        <w:spacing w:line="360" w:lineRule="auto"/>
        <w:ind w:firstLineChars="200" w:firstLine="640"/>
        <w:jc w:val="right"/>
        <w:rPr>
          <w:rFonts w:ascii="仿宋_GB2312" w:eastAsia="仿宋_GB2312" w:hAnsi="仿宋"/>
          <w:sz w:val="32"/>
          <w:szCs w:val="32"/>
        </w:rPr>
      </w:pPr>
      <w:r>
        <w:rPr>
          <w:rFonts w:ascii="仿宋_GB2312" w:eastAsia="仿宋_GB2312" w:hAnsi="仿宋" w:hint="eastAsia"/>
          <w:sz w:val="32"/>
          <w:szCs w:val="32"/>
        </w:rPr>
        <w:t xml:space="preserve">  </w:t>
      </w:r>
      <w:r>
        <w:rPr>
          <w:rFonts w:ascii="仿宋_GB2312" w:eastAsia="仿宋_GB2312" w:hAnsi="宋体" w:cs="宋体" w:hint="eastAsia"/>
          <w:kern w:val="0"/>
          <w:sz w:val="24"/>
        </w:rPr>
        <w:t>单位：万元</w:t>
      </w:r>
    </w:p>
    <w:tbl>
      <w:tblPr>
        <w:tblW w:w="10002" w:type="dxa"/>
        <w:tblInd w:w="-747" w:type="dxa"/>
        <w:tblLayout w:type="fixed"/>
        <w:tblLook w:val="04A0" w:firstRow="1" w:lastRow="0" w:firstColumn="1" w:lastColumn="0" w:noHBand="0" w:noVBand="1"/>
      </w:tblPr>
      <w:tblGrid>
        <w:gridCol w:w="3367"/>
        <w:gridCol w:w="1623"/>
        <w:gridCol w:w="1662"/>
        <w:gridCol w:w="1763"/>
        <w:gridCol w:w="1587"/>
      </w:tblGrid>
      <w:tr w:rsidR="00414524" w14:paraId="48BDEEC6"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1609FC7D"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lastRenderedPageBreak/>
              <w:t>指</w:t>
            </w:r>
            <w:r>
              <w:rPr>
                <w:rFonts w:ascii="宋体" w:hAnsi="宋体" w:cs="宋体" w:hint="eastAsia"/>
                <w:color w:val="000000"/>
                <w:kern w:val="0"/>
                <w:sz w:val="22"/>
                <w:szCs w:val="22"/>
              </w:rPr>
              <w:t xml:space="preserve"> </w:t>
            </w:r>
            <w:r>
              <w:rPr>
                <w:rStyle w:val="font11"/>
                <w:rFonts w:hint="default"/>
              </w:rPr>
              <w:t xml:space="preserve">   </w:t>
            </w:r>
            <w:r>
              <w:rPr>
                <w:rStyle w:val="font11"/>
                <w:rFonts w:hint="default"/>
              </w:rPr>
              <w:t>标</w:t>
            </w:r>
          </w:p>
        </w:tc>
        <w:tc>
          <w:tcPr>
            <w:tcW w:w="1623" w:type="dxa"/>
            <w:tcBorders>
              <w:top w:val="single" w:sz="4" w:space="0" w:color="000000"/>
              <w:left w:val="single" w:sz="4" w:space="0" w:color="000000"/>
              <w:bottom w:val="single" w:sz="4" w:space="0" w:color="000000"/>
              <w:right w:val="single" w:sz="4" w:space="0" w:color="000000"/>
            </w:tcBorders>
            <w:vAlign w:val="bottom"/>
          </w:tcPr>
          <w:p w14:paraId="6DE1E718"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年初预算批复</w:t>
            </w:r>
          </w:p>
        </w:tc>
        <w:tc>
          <w:tcPr>
            <w:tcW w:w="1662" w:type="dxa"/>
            <w:tcBorders>
              <w:top w:val="single" w:sz="4" w:space="0" w:color="000000"/>
              <w:left w:val="single" w:sz="4" w:space="0" w:color="000000"/>
              <w:bottom w:val="single" w:sz="4" w:space="0" w:color="000000"/>
              <w:right w:val="single" w:sz="4" w:space="0" w:color="000000"/>
            </w:tcBorders>
            <w:vAlign w:val="bottom"/>
          </w:tcPr>
          <w:p w14:paraId="32A8723B"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决算数</w:t>
            </w:r>
          </w:p>
        </w:tc>
        <w:tc>
          <w:tcPr>
            <w:tcW w:w="1763" w:type="dxa"/>
            <w:tcBorders>
              <w:top w:val="single" w:sz="4" w:space="0" w:color="000000"/>
              <w:left w:val="single" w:sz="4" w:space="0" w:color="000000"/>
              <w:bottom w:val="single" w:sz="4" w:space="0" w:color="000000"/>
              <w:right w:val="single" w:sz="4" w:space="0" w:color="000000"/>
            </w:tcBorders>
            <w:vAlign w:val="bottom"/>
          </w:tcPr>
          <w:p w14:paraId="21B80913"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比预算数增减</w:t>
            </w:r>
          </w:p>
        </w:tc>
        <w:tc>
          <w:tcPr>
            <w:tcW w:w="1587" w:type="dxa"/>
            <w:tcBorders>
              <w:top w:val="single" w:sz="4" w:space="0" w:color="000000"/>
              <w:left w:val="single" w:sz="4" w:space="0" w:color="000000"/>
              <w:bottom w:val="single" w:sz="4" w:space="0" w:color="000000"/>
              <w:right w:val="single" w:sz="4" w:space="0" w:color="000000"/>
            </w:tcBorders>
            <w:vAlign w:val="bottom"/>
          </w:tcPr>
          <w:p w14:paraId="0FCB96F8"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增减％</w:t>
            </w:r>
          </w:p>
        </w:tc>
      </w:tr>
      <w:tr w:rsidR="00414524" w14:paraId="6A9DF61C"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62E5C321"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1.</w:t>
            </w:r>
            <w:r>
              <w:rPr>
                <w:rStyle w:val="font11"/>
                <w:rFonts w:hint="default"/>
              </w:rPr>
              <w:t>本年收入</w:t>
            </w:r>
          </w:p>
        </w:tc>
        <w:tc>
          <w:tcPr>
            <w:tcW w:w="1623" w:type="dxa"/>
            <w:tcBorders>
              <w:top w:val="single" w:sz="4" w:space="0" w:color="000000"/>
              <w:left w:val="single" w:sz="4" w:space="0" w:color="000000"/>
              <w:bottom w:val="single" w:sz="4" w:space="0" w:color="000000"/>
              <w:right w:val="single" w:sz="4" w:space="0" w:color="000000"/>
            </w:tcBorders>
            <w:vAlign w:val="bottom"/>
          </w:tcPr>
          <w:p w14:paraId="143D74FF"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161,176.60</w:t>
            </w:r>
          </w:p>
        </w:tc>
        <w:tc>
          <w:tcPr>
            <w:tcW w:w="1662" w:type="dxa"/>
            <w:tcBorders>
              <w:top w:val="single" w:sz="4" w:space="0" w:color="000000"/>
              <w:left w:val="single" w:sz="4" w:space="0" w:color="000000"/>
              <w:bottom w:val="single" w:sz="4" w:space="0" w:color="000000"/>
              <w:right w:val="single" w:sz="4" w:space="0" w:color="000000"/>
            </w:tcBorders>
          </w:tcPr>
          <w:p w14:paraId="1F598277"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151,262.44</w:t>
            </w:r>
          </w:p>
        </w:tc>
        <w:tc>
          <w:tcPr>
            <w:tcW w:w="1763" w:type="dxa"/>
            <w:tcBorders>
              <w:top w:val="single" w:sz="4" w:space="0" w:color="000000"/>
              <w:left w:val="single" w:sz="4" w:space="0" w:color="000000"/>
              <w:bottom w:val="single" w:sz="4" w:space="0" w:color="000000"/>
              <w:right w:val="single" w:sz="4" w:space="0" w:color="000000"/>
            </w:tcBorders>
            <w:vAlign w:val="center"/>
          </w:tcPr>
          <w:p w14:paraId="09CFFDA3"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-9,914.16</w:t>
            </w:r>
          </w:p>
        </w:tc>
        <w:tc>
          <w:tcPr>
            <w:tcW w:w="1587" w:type="dxa"/>
            <w:tcBorders>
              <w:top w:val="single" w:sz="4" w:space="0" w:color="000000"/>
              <w:left w:val="single" w:sz="4" w:space="0" w:color="000000"/>
              <w:bottom w:val="single" w:sz="4" w:space="0" w:color="000000"/>
              <w:right w:val="single" w:sz="4" w:space="0" w:color="000000"/>
            </w:tcBorders>
            <w:vAlign w:val="center"/>
          </w:tcPr>
          <w:p w14:paraId="510AB87E"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-6.15%</w:t>
            </w:r>
          </w:p>
        </w:tc>
      </w:tr>
      <w:tr w:rsidR="00414524" w14:paraId="1E9C5305"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248FA23B"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其中：一般公共预算财政拨款</w:t>
            </w:r>
          </w:p>
        </w:tc>
        <w:tc>
          <w:tcPr>
            <w:tcW w:w="1623" w:type="dxa"/>
            <w:tcBorders>
              <w:top w:val="single" w:sz="4" w:space="0" w:color="000000"/>
              <w:left w:val="single" w:sz="4" w:space="0" w:color="000000"/>
              <w:bottom w:val="single" w:sz="4" w:space="0" w:color="000000"/>
              <w:right w:val="single" w:sz="4" w:space="0" w:color="000000"/>
            </w:tcBorders>
            <w:vAlign w:val="bottom"/>
          </w:tcPr>
          <w:p w14:paraId="0A6ADBF7"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81,176.33</w:t>
            </w:r>
          </w:p>
        </w:tc>
        <w:tc>
          <w:tcPr>
            <w:tcW w:w="1662" w:type="dxa"/>
            <w:tcBorders>
              <w:top w:val="single" w:sz="4" w:space="0" w:color="000000"/>
              <w:left w:val="single" w:sz="4" w:space="0" w:color="000000"/>
              <w:bottom w:val="single" w:sz="4" w:space="0" w:color="000000"/>
              <w:right w:val="single" w:sz="4" w:space="0" w:color="000000"/>
            </w:tcBorders>
          </w:tcPr>
          <w:p w14:paraId="230A778D"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79,976.41</w:t>
            </w:r>
          </w:p>
        </w:tc>
        <w:tc>
          <w:tcPr>
            <w:tcW w:w="1763" w:type="dxa"/>
            <w:tcBorders>
              <w:top w:val="single" w:sz="4" w:space="0" w:color="000000"/>
              <w:left w:val="single" w:sz="4" w:space="0" w:color="000000"/>
              <w:bottom w:val="single" w:sz="4" w:space="0" w:color="000000"/>
              <w:right w:val="single" w:sz="4" w:space="0" w:color="000000"/>
            </w:tcBorders>
            <w:vAlign w:val="center"/>
          </w:tcPr>
          <w:p w14:paraId="30E46ABB"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-1,199.92</w:t>
            </w:r>
          </w:p>
        </w:tc>
        <w:tc>
          <w:tcPr>
            <w:tcW w:w="1587" w:type="dxa"/>
            <w:tcBorders>
              <w:top w:val="single" w:sz="4" w:space="0" w:color="000000"/>
              <w:left w:val="single" w:sz="4" w:space="0" w:color="000000"/>
              <w:bottom w:val="single" w:sz="4" w:space="0" w:color="000000"/>
              <w:right w:val="single" w:sz="4" w:space="0" w:color="000000"/>
            </w:tcBorders>
            <w:vAlign w:val="center"/>
          </w:tcPr>
          <w:p w14:paraId="36F90E93"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-1.48%</w:t>
            </w:r>
          </w:p>
        </w:tc>
      </w:tr>
      <w:tr w:rsidR="00414524" w14:paraId="01F685DD"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0E279726"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政府性基金预算财政拨款</w:t>
            </w:r>
          </w:p>
        </w:tc>
        <w:tc>
          <w:tcPr>
            <w:tcW w:w="1623" w:type="dxa"/>
            <w:tcBorders>
              <w:top w:val="single" w:sz="4" w:space="0" w:color="000000"/>
              <w:left w:val="single" w:sz="4" w:space="0" w:color="000000"/>
              <w:bottom w:val="single" w:sz="4" w:space="0" w:color="000000"/>
              <w:right w:val="single" w:sz="4" w:space="0" w:color="000000"/>
            </w:tcBorders>
            <w:vAlign w:val="bottom"/>
          </w:tcPr>
          <w:p w14:paraId="45DF645F"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44.5</w:t>
            </w:r>
          </w:p>
        </w:tc>
        <w:tc>
          <w:tcPr>
            <w:tcW w:w="1662" w:type="dxa"/>
            <w:tcBorders>
              <w:top w:val="single" w:sz="4" w:space="0" w:color="000000"/>
              <w:left w:val="single" w:sz="4" w:space="0" w:color="000000"/>
              <w:bottom w:val="single" w:sz="4" w:space="0" w:color="000000"/>
              <w:right w:val="single" w:sz="4" w:space="0" w:color="000000"/>
            </w:tcBorders>
          </w:tcPr>
          <w:p w14:paraId="6502AB1C"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6,044.50</w:t>
            </w:r>
          </w:p>
        </w:tc>
        <w:tc>
          <w:tcPr>
            <w:tcW w:w="1763" w:type="dxa"/>
            <w:tcBorders>
              <w:top w:val="single" w:sz="4" w:space="0" w:color="000000"/>
              <w:left w:val="single" w:sz="4" w:space="0" w:color="000000"/>
              <w:bottom w:val="single" w:sz="4" w:space="0" w:color="000000"/>
              <w:right w:val="single" w:sz="4" w:space="0" w:color="000000"/>
            </w:tcBorders>
            <w:vAlign w:val="center"/>
          </w:tcPr>
          <w:p w14:paraId="53E7B444"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6,000.00</w:t>
            </w:r>
          </w:p>
        </w:tc>
        <w:tc>
          <w:tcPr>
            <w:tcW w:w="1587" w:type="dxa"/>
            <w:tcBorders>
              <w:top w:val="single" w:sz="4" w:space="0" w:color="000000"/>
              <w:left w:val="single" w:sz="4" w:space="0" w:color="000000"/>
              <w:bottom w:val="single" w:sz="4" w:space="0" w:color="000000"/>
              <w:right w:val="single" w:sz="4" w:space="0" w:color="000000"/>
            </w:tcBorders>
            <w:vAlign w:val="center"/>
          </w:tcPr>
          <w:p w14:paraId="637C1518"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13483.15%</w:t>
            </w:r>
          </w:p>
        </w:tc>
      </w:tr>
      <w:tr w:rsidR="00414524" w14:paraId="4E455BA9"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1D1A5803"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上级补助收入</w:t>
            </w:r>
          </w:p>
        </w:tc>
        <w:tc>
          <w:tcPr>
            <w:tcW w:w="1623" w:type="dxa"/>
            <w:tcBorders>
              <w:top w:val="single" w:sz="4" w:space="0" w:color="000000"/>
              <w:left w:val="single" w:sz="4" w:space="0" w:color="000000"/>
              <w:bottom w:val="single" w:sz="4" w:space="0" w:color="000000"/>
              <w:right w:val="single" w:sz="4" w:space="0" w:color="000000"/>
            </w:tcBorders>
            <w:vAlign w:val="bottom"/>
          </w:tcPr>
          <w:p w14:paraId="7C08BBF6"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7,500.00</w:t>
            </w:r>
          </w:p>
        </w:tc>
        <w:tc>
          <w:tcPr>
            <w:tcW w:w="1662" w:type="dxa"/>
            <w:tcBorders>
              <w:top w:val="single" w:sz="4" w:space="0" w:color="000000"/>
              <w:left w:val="single" w:sz="4" w:space="0" w:color="000000"/>
              <w:bottom w:val="single" w:sz="4" w:space="0" w:color="000000"/>
              <w:right w:val="single" w:sz="4" w:space="0" w:color="000000"/>
            </w:tcBorders>
            <w:vAlign w:val="center"/>
          </w:tcPr>
          <w:p w14:paraId="4D13B5AB" w14:textId="77777777" w:rsidR="00414524" w:rsidRDefault="00E55B88">
            <w:pPr>
              <w:jc w:val="center"/>
              <w:rPr>
                <w:rFonts w:ascii="宋体" w:hAnsi="宋体" w:cs="宋体"/>
                <w:color w:val="000000"/>
                <w:sz w:val="22"/>
                <w:szCs w:val="22"/>
              </w:rPr>
            </w:pPr>
            <w:r>
              <w:rPr>
                <w:rFonts w:ascii="宋体" w:hAnsi="宋体" w:cs="宋体" w:hint="eastAsia"/>
                <w:color w:val="000000"/>
                <w:sz w:val="22"/>
                <w:szCs w:val="22"/>
              </w:rPr>
              <w:t>0.00</w:t>
            </w:r>
          </w:p>
        </w:tc>
        <w:tc>
          <w:tcPr>
            <w:tcW w:w="1763" w:type="dxa"/>
            <w:tcBorders>
              <w:top w:val="single" w:sz="4" w:space="0" w:color="000000"/>
              <w:left w:val="single" w:sz="4" w:space="0" w:color="000000"/>
              <w:bottom w:val="single" w:sz="4" w:space="0" w:color="000000"/>
              <w:right w:val="single" w:sz="4" w:space="0" w:color="000000"/>
            </w:tcBorders>
            <w:vAlign w:val="center"/>
          </w:tcPr>
          <w:p w14:paraId="7F33D34A"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-7,500.00</w:t>
            </w:r>
          </w:p>
        </w:tc>
        <w:tc>
          <w:tcPr>
            <w:tcW w:w="1587" w:type="dxa"/>
            <w:tcBorders>
              <w:top w:val="single" w:sz="4" w:space="0" w:color="000000"/>
              <w:left w:val="single" w:sz="4" w:space="0" w:color="000000"/>
              <w:bottom w:val="single" w:sz="4" w:space="0" w:color="000000"/>
              <w:right w:val="single" w:sz="4" w:space="0" w:color="000000"/>
            </w:tcBorders>
            <w:vAlign w:val="center"/>
          </w:tcPr>
          <w:p w14:paraId="5E6481B0"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-100.00%</w:t>
            </w:r>
          </w:p>
        </w:tc>
      </w:tr>
      <w:tr w:rsidR="00414524" w14:paraId="6D8D8037"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274B571E"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w:t>
            </w:r>
            <w:r>
              <w:rPr>
                <w:rStyle w:val="font11"/>
                <w:rFonts w:hint="default"/>
              </w:rPr>
              <w:t>事业收入</w:t>
            </w:r>
          </w:p>
        </w:tc>
        <w:tc>
          <w:tcPr>
            <w:tcW w:w="1623" w:type="dxa"/>
            <w:tcBorders>
              <w:top w:val="single" w:sz="4" w:space="0" w:color="000000"/>
              <w:left w:val="single" w:sz="4" w:space="0" w:color="000000"/>
              <w:bottom w:val="single" w:sz="4" w:space="0" w:color="000000"/>
              <w:right w:val="single" w:sz="4" w:space="0" w:color="000000"/>
            </w:tcBorders>
            <w:vAlign w:val="bottom"/>
          </w:tcPr>
          <w:p w14:paraId="11B3E28B"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13,370.53</w:t>
            </w:r>
          </w:p>
        </w:tc>
        <w:tc>
          <w:tcPr>
            <w:tcW w:w="1662" w:type="dxa"/>
            <w:tcBorders>
              <w:top w:val="single" w:sz="4" w:space="0" w:color="000000"/>
              <w:left w:val="single" w:sz="4" w:space="0" w:color="000000"/>
              <w:bottom w:val="single" w:sz="4" w:space="0" w:color="000000"/>
              <w:right w:val="single" w:sz="4" w:space="0" w:color="000000"/>
            </w:tcBorders>
          </w:tcPr>
          <w:p w14:paraId="1CE12BB7"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13,052.94</w:t>
            </w:r>
          </w:p>
        </w:tc>
        <w:tc>
          <w:tcPr>
            <w:tcW w:w="1763" w:type="dxa"/>
            <w:tcBorders>
              <w:top w:val="single" w:sz="4" w:space="0" w:color="000000"/>
              <w:left w:val="single" w:sz="4" w:space="0" w:color="000000"/>
              <w:bottom w:val="single" w:sz="4" w:space="0" w:color="000000"/>
              <w:right w:val="single" w:sz="4" w:space="0" w:color="000000"/>
            </w:tcBorders>
            <w:vAlign w:val="center"/>
          </w:tcPr>
          <w:p w14:paraId="14094DE1"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-317.59</w:t>
            </w:r>
          </w:p>
        </w:tc>
        <w:tc>
          <w:tcPr>
            <w:tcW w:w="1587" w:type="dxa"/>
            <w:tcBorders>
              <w:top w:val="single" w:sz="4" w:space="0" w:color="000000"/>
              <w:left w:val="single" w:sz="4" w:space="0" w:color="000000"/>
              <w:bottom w:val="single" w:sz="4" w:space="0" w:color="000000"/>
              <w:right w:val="single" w:sz="4" w:space="0" w:color="000000"/>
            </w:tcBorders>
            <w:vAlign w:val="center"/>
          </w:tcPr>
          <w:p w14:paraId="3A2C904E"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-2.38%</w:t>
            </w:r>
          </w:p>
        </w:tc>
      </w:tr>
      <w:tr w:rsidR="00414524" w14:paraId="51AE1DEA"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740AF059"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经营收入</w:t>
            </w:r>
          </w:p>
        </w:tc>
        <w:tc>
          <w:tcPr>
            <w:tcW w:w="1623" w:type="dxa"/>
            <w:tcBorders>
              <w:top w:val="single" w:sz="4" w:space="0" w:color="000000"/>
              <w:left w:val="single" w:sz="4" w:space="0" w:color="000000"/>
              <w:bottom w:val="single" w:sz="4" w:space="0" w:color="000000"/>
              <w:right w:val="single" w:sz="4" w:space="0" w:color="000000"/>
            </w:tcBorders>
            <w:vAlign w:val="bottom"/>
          </w:tcPr>
          <w:p w14:paraId="33640F65"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41,775.54</w:t>
            </w:r>
          </w:p>
        </w:tc>
        <w:tc>
          <w:tcPr>
            <w:tcW w:w="1662" w:type="dxa"/>
            <w:tcBorders>
              <w:top w:val="single" w:sz="4" w:space="0" w:color="000000"/>
              <w:left w:val="single" w:sz="4" w:space="0" w:color="000000"/>
              <w:bottom w:val="single" w:sz="4" w:space="0" w:color="000000"/>
              <w:right w:val="single" w:sz="4" w:space="0" w:color="000000"/>
            </w:tcBorders>
          </w:tcPr>
          <w:p w14:paraId="552C90C2"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39,078.11</w:t>
            </w:r>
          </w:p>
        </w:tc>
        <w:tc>
          <w:tcPr>
            <w:tcW w:w="1763" w:type="dxa"/>
            <w:tcBorders>
              <w:top w:val="single" w:sz="4" w:space="0" w:color="000000"/>
              <w:left w:val="single" w:sz="4" w:space="0" w:color="000000"/>
              <w:bottom w:val="single" w:sz="4" w:space="0" w:color="000000"/>
              <w:right w:val="single" w:sz="4" w:space="0" w:color="000000"/>
            </w:tcBorders>
            <w:vAlign w:val="center"/>
          </w:tcPr>
          <w:p w14:paraId="42F61B84"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-2,697.43</w:t>
            </w:r>
          </w:p>
        </w:tc>
        <w:tc>
          <w:tcPr>
            <w:tcW w:w="1587" w:type="dxa"/>
            <w:tcBorders>
              <w:top w:val="single" w:sz="4" w:space="0" w:color="000000"/>
              <w:left w:val="single" w:sz="4" w:space="0" w:color="000000"/>
              <w:bottom w:val="single" w:sz="4" w:space="0" w:color="000000"/>
              <w:right w:val="single" w:sz="4" w:space="0" w:color="000000"/>
            </w:tcBorders>
            <w:vAlign w:val="center"/>
          </w:tcPr>
          <w:p w14:paraId="05144C1E"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-6.46%</w:t>
            </w:r>
          </w:p>
        </w:tc>
      </w:tr>
      <w:tr w:rsidR="00414524" w14:paraId="485D4023"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3ABFF06D"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附属单位上缴收入</w:t>
            </w:r>
          </w:p>
        </w:tc>
        <w:tc>
          <w:tcPr>
            <w:tcW w:w="1623" w:type="dxa"/>
            <w:tcBorders>
              <w:top w:val="single" w:sz="4" w:space="0" w:color="000000"/>
              <w:left w:val="single" w:sz="4" w:space="0" w:color="000000"/>
              <w:bottom w:val="single" w:sz="4" w:space="0" w:color="000000"/>
              <w:right w:val="single" w:sz="4" w:space="0" w:color="000000"/>
            </w:tcBorders>
            <w:vAlign w:val="bottom"/>
          </w:tcPr>
          <w:p w14:paraId="161FCB83"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13,900.00</w:t>
            </w:r>
          </w:p>
        </w:tc>
        <w:tc>
          <w:tcPr>
            <w:tcW w:w="1662" w:type="dxa"/>
            <w:tcBorders>
              <w:top w:val="single" w:sz="4" w:space="0" w:color="000000"/>
              <w:left w:val="single" w:sz="4" w:space="0" w:color="000000"/>
              <w:bottom w:val="single" w:sz="4" w:space="0" w:color="000000"/>
              <w:right w:val="single" w:sz="4" w:space="0" w:color="000000"/>
            </w:tcBorders>
          </w:tcPr>
          <w:p w14:paraId="3C4DF316"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9,112.00</w:t>
            </w:r>
          </w:p>
        </w:tc>
        <w:tc>
          <w:tcPr>
            <w:tcW w:w="1763" w:type="dxa"/>
            <w:tcBorders>
              <w:top w:val="single" w:sz="4" w:space="0" w:color="000000"/>
              <w:left w:val="single" w:sz="4" w:space="0" w:color="000000"/>
              <w:bottom w:val="single" w:sz="4" w:space="0" w:color="000000"/>
              <w:right w:val="single" w:sz="4" w:space="0" w:color="000000"/>
            </w:tcBorders>
            <w:vAlign w:val="center"/>
          </w:tcPr>
          <w:p w14:paraId="09763DD1"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-4,788.00</w:t>
            </w:r>
          </w:p>
        </w:tc>
        <w:tc>
          <w:tcPr>
            <w:tcW w:w="1587" w:type="dxa"/>
            <w:tcBorders>
              <w:top w:val="single" w:sz="4" w:space="0" w:color="000000"/>
              <w:left w:val="single" w:sz="4" w:space="0" w:color="000000"/>
              <w:bottom w:val="single" w:sz="4" w:space="0" w:color="000000"/>
              <w:right w:val="single" w:sz="4" w:space="0" w:color="000000"/>
            </w:tcBorders>
            <w:vAlign w:val="center"/>
          </w:tcPr>
          <w:p w14:paraId="5CDB02B0"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-34.45%</w:t>
            </w:r>
          </w:p>
        </w:tc>
      </w:tr>
      <w:tr w:rsidR="00414524" w14:paraId="3B541398"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1D481D50"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w:t>
            </w:r>
            <w:r>
              <w:rPr>
                <w:rStyle w:val="font11"/>
                <w:rFonts w:hint="default"/>
              </w:rPr>
              <w:t>其他收入</w:t>
            </w:r>
          </w:p>
        </w:tc>
        <w:tc>
          <w:tcPr>
            <w:tcW w:w="1623" w:type="dxa"/>
            <w:tcBorders>
              <w:top w:val="single" w:sz="4" w:space="0" w:color="000000"/>
              <w:left w:val="single" w:sz="4" w:space="0" w:color="000000"/>
              <w:bottom w:val="single" w:sz="4" w:space="0" w:color="000000"/>
              <w:right w:val="single" w:sz="4" w:space="0" w:color="000000"/>
            </w:tcBorders>
            <w:vAlign w:val="bottom"/>
          </w:tcPr>
          <w:p w14:paraId="05B3419E"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3,409.70</w:t>
            </w:r>
          </w:p>
        </w:tc>
        <w:tc>
          <w:tcPr>
            <w:tcW w:w="1662" w:type="dxa"/>
            <w:tcBorders>
              <w:top w:val="single" w:sz="4" w:space="0" w:color="000000"/>
              <w:left w:val="single" w:sz="4" w:space="0" w:color="000000"/>
              <w:bottom w:val="single" w:sz="4" w:space="0" w:color="000000"/>
              <w:right w:val="single" w:sz="4" w:space="0" w:color="000000"/>
            </w:tcBorders>
          </w:tcPr>
          <w:p w14:paraId="6FE0E4EF"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3,998.47</w:t>
            </w:r>
          </w:p>
        </w:tc>
        <w:tc>
          <w:tcPr>
            <w:tcW w:w="1763" w:type="dxa"/>
            <w:tcBorders>
              <w:top w:val="single" w:sz="4" w:space="0" w:color="000000"/>
              <w:left w:val="single" w:sz="4" w:space="0" w:color="000000"/>
              <w:bottom w:val="single" w:sz="4" w:space="0" w:color="000000"/>
              <w:right w:val="single" w:sz="4" w:space="0" w:color="000000"/>
            </w:tcBorders>
            <w:vAlign w:val="center"/>
          </w:tcPr>
          <w:p w14:paraId="38DFF30B"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588.77</w:t>
            </w:r>
          </w:p>
        </w:tc>
        <w:tc>
          <w:tcPr>
            <w:tcW w:w="1587" w:type="dxa"/>
            <w:tcBorders>
              <w:top w:val="single" w:sz="4" w:space="0" w:color="000000"/>
              <w:left w:val="single" w:sz="4" w:space="0" w:color="000000"/>
              <w:bottom w:val="single" w:sz="4" w:space="0" w:color="000000"/>
              <w:right w:val="single" w:sz="4" w:space="0" w:color="000000"/>
            </w:tcBorders>
            <w:vAlign w:val="center"/>
          </w:tcPr>
          <w:p w14:paraId="00E20A83"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17.27%</w:t>
            </w:r>
          </w:p>
        </w:tc>
      </w:tr>
      <w:tr w:rsidR="00414524" w14:paraId="3D21EF7E" w14:textId="77777777">
        <w:trPr>
          <w:trHeight w:val="90"/>
        </w:trPr>
        <w:tc>
          <w:tcPr>
            <w:tcW w:w="3367" w:type="dxa"/>
            <w:tcBorders>
              <w:top w:val="single" w:sz="4" w:space="0" w:color="000000"/>
              <w:left w:val="single" w:sz="4" w:space="0" w:color="000000"/>
              <w:bottom w:val="single" w:sz="4" w:space="0" w:color="000000"/>
              <w:right w:val="single" w:sz="4" w:space="0" w:color="000000"/>
            </w:tcBorders>
            <w:vAlign w:val="bottom"/>
          </w:tcPr>
          <w:p w14:paraId="39AD4B9C"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2.</w:t>
            </w:r>
            <w:r>
              <w:rPr>
                <w:rStyle w:val="font11"/>
                <w:rFonts w:hint="default"/>
              </w:rPr>
              <w:t>本年支出</w:t>
            </w:r>
          </w:p>
        </w:tc>
        <w:tc>
          <w:tcPr>
            <w:tcW w:w="1623" w:type="dxa"/>
            <w:tcBorders>
              <w:top w:val="single" w:sz="4" w:space="0" w:color="000000"/>
              <w:left w:val="single" w:sz="4" w:space="0" w:color="000000"/>
              <w:bottom w:val="single" w:sz="4" w:space="0" w:color="000000"/>
              <w:right w:val="single" w:sz="4" w:space="0" w:color="000000"/>
            </w:tcBorders>
            <w:vAlign w:val="bottom"/>
          </w:tcPr>
          <w:p w14:paraId="205D48B6"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182,349.87</w:t>
            </w:r>
          </w:p>
        </w:tc>
        <w:tc>
          <w:tcPr>
            <w:tcW w:w="1662" w:type="dxa"/>
            <w:tcBorders>
              <w:top w:val="single" w:sz="4" w:space="0" w:color="000000"/>
              <w:left w:val="single" w:sz="4" w:space="0" w:color="000000"/>
              <w:bottom w:val="single" w:sz="4" w:space="0" w:color="000000"/>
              <w:right w:val="single" w:sz="4" w:space="0" w:color="000000"/>
            </w:tcBorders>
          </w:tcPr>
          <w:p w14:paraId="36345218"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150,745.77</w:t>
            </w:r>
          </w:p>
        </w:tc>
        <w:tc>
          <w:tcPr>
            <w:tcW w:w="1763" w:type="dxa"/>
            <w:tcBorders>
              <w:top w:val="single" w:sz="4" w:space="0" w:color="000000"/>
              <w:left w:val="single" w:sz="4" w:space="0" w:color="000000"/>
              <w:bottom w:val="single" w:sz="4" w:space="0" w:color="000000"/>
              <w:right w:val="single" w:sz="4" w:space="0" w:color="000000"/>
            </w:tcBorders>
            <w:vAlign w:val="center"/>
          </w:tcPr>
          <w:p w14:paraId="6847E182"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-31,604.10</w:t>
            </w:r>
          </w:p>
        </w:tc>
        <w:tc>
          <w:tcPr>
            <w:tcW w:w="1587" w:type="dxa"/>
            <w:tcBorders>
              <w:top w:val="single" w:sz="4" w:space="0" w:color="000000"/>
              <w:left w:val="single" w:sz="4" w:space="0" w:color="000000"/>
              <w:bottom w:val="single" w:sz="4" w:space="0" w:color="000000"/>
              <w:right w:val="single" w:sz="4" w:space="0" w:color="000000"/>
            </w:tcBorders>
            <w:vAlign w:val="center"/>
          </w:tcPr>
          <w:p w14:paraId="7D4A756E"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-17.33%</w:t>
            </w:r>
          </w:p>
        </w:tc>
      </w:tr>
      <w:tr w:rsidR="00414524" w14:paraId="58E247C2"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3B45310A"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其中：基本支出</w:t>
            </w:r>
          </w:p>
        </w:tc>
        <w:tc>
          <w:tcPr>
            <w:tcW w:w="1623" w:type="dxa"/>
            <w:tcBorders>
              <w:top w:val="single" w:sz="4" w:space="0" w:color="000000"/>
              <w:left w:val="single" w:sz="4" w:space="0" w:color="000000"/>
              <w:bottom w:val="single" w:sz="4" w:space="0" w:color="000000"/>
              <w:right w:val="single" w:sz="4" w:space="0" w:color="000000"/>
            </w:tcBorders>
            <w:vAlign w:val="bottom"/>
          </w:tcPr>
          <w:p w14:paraId="2F087B33"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76,095.99</w:t>
            </w:r>
          </w:p>
        </w:tc>
        <w:tc>
          <w:tcPr>
            <w:tcW w:w="1662" w:type="dxa"/>
            <w:tcBorders>
              <w:top w:val="single" w:sz="4" w:space="0" w:color="000000"/>
              <w:left w:val="single" w:sz="4" w:space="0" w:color="000000"/>
              <w:bottom w:val="single" w:sz="4" w:space="0" w:color="000000"/>
              <w:right w:val="single" w:sz="4" w:space="0" w:color="000000"/>
            </w:tcBorders>
          </w:tcPr>
          <w:p w14:paraId="512DDB23"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60,074.40</w:t>
            </w:r>
          </w:p>
        </w:tc>
        <w:tc>
          <w:tcPr>
            <w:tcW w:w="1763" w:type="dxa"/>
            <w:tcBorders>
              <w:top w:val="single" w:sz="4" w:space="0" w:color="000000"/>
              <w:left w:val="single" w:sz="4" w:space="0" w:color="000000"/>
              <w:bottom w:val="single" w:sz="4" w:space="0" w:color="000000"/>
              <w:right w:val="single" w:sz="4" w:space="0" w:color="000000"/>
            </w:tcBorders>
            <w:vAlign w:val="center"/>
          </w:tcPr>
          <w:p w14:paraId="4AB8C5F3"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-16,021.59</w:t>
            </w:r>
          </w:p>
        </w:tc>
        <w:tc>
          <w:tcPr>
            <w:tcW w:w="1587" w:type="dxa"/>
            <w:tcBorders>
              <w:top w:val="single" w:sz="4" w:space="0" w:color="000000"/>
              <w:left w:val="single" w:sz="4" w:space="0" w:color="000000"/>
              <w:bottom w:val="single" w:sz="4" w:space="0" w:color="000000"/>
              <w:right w:val="single" w:sz="4" w:space="0" w:color="000000"/>
            </w:tcBorders>
            <w:vAlign w:val="center"/>
          </w:tcPr>
          <w:p w14:paraId="21510B01"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-21.05%</w:t>
            </w:r>
          </w:p>
        </w:tc>
      </w:tr>
      <w:tr w:rsidR="00414524" w14:paraId="0FAB551A"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1EF3376B"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w:t>
            </w:r>
            <w:r>
              <w:rPr>
                <w:rStyle w:val="font11"/>
                <w:rFonts w:hint="default"/>
              </w:rPr>
              <w:t>1</w:t>
            </w:r>
            <w:r>
              <w:rPr>
                <w:rStyle w:val="font11"/>
                <w:rFonts w:hint="default"/>
              </w:rPr>
              <w:t>）人员经费</w:t>
            </w:r>
          </w:p>
        </w:tc>
        <w:tc>
          <w:tcPr>
            <w:tcW w:w="1623" w:type="dxa"/>
            <w:tcBorders>
              <w:top w:val="single" w:sz="4" w:space="0" w:color="000000"/>
              <w:left w:val="single" w:sz="4" w:space="0" w:color="000000"/>
              <w:bottom w:val="single" w:sz="4" w:space="0" w:color="000000"/>
              <w:right w:val="single" w:sz="4" w:space="0" w:color="000000"/>
            </w:tcBorders>
            <w:vAlign w:val="bottom"/>
          </w:tcPr>
          <w:p w14:paraId="7DF3A79D"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64,202.57</w:t>
            </w:r>
          </w:p>
        </w:tc>
        <w:tc>
          <w:tcPr>
            <w:tcW w:w="1662" w:type="dxa"/>
            <w:tcBorders>
              <w:top w:val="single" w:sz="4" w:space="0" w:color="000000"/>
              <w:left w:val="single" w:sz="4" w:space="0" w:color="000000"/>
              <w:bottom w:val="single" w:sz="4" w:space="0" w:color="000000"/>
              <w:right w:val="single" w:sz="4" w:space="0" w:color="000000"/>
            </w:tcBorders>
          </w:tcPr>
          <w:p w14:paraId="26B00108"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48,057.47</w:t>
            </w:r>
          </w:p>
        </w:tc>
        <w:tc>
          <w:tcPr>
            <w:tcW w:w="1763" w:type="dxa"/>
            <w:tcBorders>
              <w:top w:val="single" w:sz="4" w:space="0" w:color="000000"/>
              <w:left w:val="single" w:sz="4" w:space="0" w:color="000000"/>
              <w:bottom w:val="single" w:sz="4" w:space="0" w:color="000000"/>
              <w:right w:val="single" w:sz="4" w:space="0" w:color="000000"/>
            </w:tcBorders>
            <w:vAlign w:val="center"/>
          </w:tcPr>
          <w:p w14:paraId="52D9930C"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-16,145.10</w:t>
            </w:r>
          </w:p>
        </w:tc>
        <w:tc>
          <w:tcPr>
            <w:tcW w:w="1587" w:type="dxa"/>
            <w:tcBorders>
              <w:top w:val="single" w:sz="4" w:space="0" w:color="000000"/>
              <w:left w:val="single" w:sz="4" w:space="0" w:color="000000"/>
              <w:bottom w:val="single" w:sz="4" w:space="0" w:color="000000"/>
              <w:right w:val="single" w:sz="4" w:space="0" w:color="000000"/>
            </w:tcBorders>
            <w:vAlign w:val="center"/>
          </w:tcPr>
          <w:p w14:paraId="6647A7F6"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-25.15%</w:t>
            </w:r>
          </w:p>
        </w:tc>
      </w:tr>
      <w:tr w:rsidR="00414524" w14:paraId="18D70FDB"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21CE544C"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w:t>
            </w:r>
            <w:r>
              <w:rPr>
                <w:rStyle w:val="font11"/>
                <w:rFonts w:hint="default"/>
              </w:rPr>
              <w:t>2</w:t>
            </w:r>
            <w:r>
              <w:rPr>
                <w:rStyle w:val="font11"/>
                <w:rFonts w:hint="default"/>
              </w:rPr>
              <w:t>）日常公用经费</w:t>
            </w:r>
          </w:p>
        </w:tc>
        <w:tc>
          <w:tcPr>
            <w:tcW w:w="1623" w:type="dxa"/>
            <w:tcBorders>
              <w:top w:val="single" w:sz="4" w:space="0" w:color="000000"/>
              <w:left w:val="single" w:sz="4" w:space="0" w:color="000000"/>
              <w:bottom w:val="single" w:sz="4" w:space="0" w:color="000000"/>
              <w:right w:val="single" w:sz="4" w:space="0" w:color="000000"/>
            </w:tcBorders>
            <w:vAlign w:val="bottom"/>
          </w:tcPr>
          <w:p w14:paraId="2A29E3B5"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11,893.41</w:t>
            </w:r>
          </w:p>
        </w:tc>
        <w:tc>
          <w:tcPr>
            <w:tcW w:w="1662" w:type="dxa"/>
            <w:tcBorders>
              <w:top w:val="single" w:sz="4" w:space="0" w:color="000000"/>
              <w:left w:val="single" w:sz="4" w:space="0" w:color="000000"/>
              <w:bottom w:val="single" w:sz="4" w:space="0" w:color="000000"/>
              <w:right w:val="single" w:sz="4" w:space="0" w:color="000000"/>
            </w:tcBorders>
          </w:tcPr>
          <w:p w14:paraId="4CD14CF2"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12,016.93</w:t>
            </w:r>
          </w:p>
        </w:tc>
        <w:tc>
          <w:tcPr>
            <w:tcW w:w="1763" w:type="dxa"/>
            <w:tcBorders>
              <w:top w:val="single" w:sz="4" w:space="0" w:color="000000"/>
              <w:left w:val="single" w:sz="4" w:space="0" w:color="000000"/>
              <w:bottom w:val="single" w:sz="4" w:space="0" w:color="000000"/>
              <w:right w:val="single" w:sz="4" w:space="0" w:color="000000"/>
            </w:tcBorders>
            <w:vAlign w:val="center"/>
          </w:tcPr>
          <w:p w14:paraId="6248F1EC"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123.52</w:t>
            </w:r>
          </w:p>
        </w:tc>
        <w:tc>
          <w:tcPr>
            <w:tcW w:w="1587" w:type="dxa"/>
            <w:tcBorders>
              <w:top w:val="single" w:sz="4" w:space="0" w:color="000000"/>
              <w:left w:val="single" w:sz="4" w:space="0" w:color="000000"/>
              <w:bottom w:val="single" w:sz="4" w:space="0" w:color="000000"/>
              <w:right w:val="single" w:sz="4" w:space="0" w:color="000000"/>
            </w:tcBorders>
            <w:vAlign w:val="center"/>
          </w:tcPr>
          <w:p w14:paraId="31B6A644"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1.04%</w:t>
            </w:r>
          </w:p>
        </w:tc>
      </w:tr>
      <w:tr w:rsidR="00414524" w14:paraId="6BCD084C"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3082B697"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项目支出</w:t>
            </w:r>
          </w:p>
        </w:tc>
        <w:tc>
          <w:tcPr>
            <w:tcW w:w="1623" w:type="dxa"/>
            <w:tcBorders>
              <w:top w:val="single" w:sz="4" w:space="0" w:color="000000"/>
              <w:left w:val="single" w:sz="4" w:space="0" w:color="000000"/>
              <w:bottom w:val="single" w:sz="4" w:space="0" w:color="000000"/>
              <w:right w:val="single" w:sz="4" w:space="0" w:color="000000"/>
            </w:tcBorders>
            <w:vAlign w:val="bottom"/>
          </w:tcPr>
          <w:p w14:paraId="47B998E9"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41,446.94</w:t>
            </w:r>
          </w:p>
        </w:tc>
        <w:tc>
          <w:tcPr>
            <w:tcW w:w="1662" w:type="dxa"/>
            <w:tcBorders>
              <w:top w:val="single" w:sz="4" w:space="0" w:color="000000"/>
              <w:left w:val="single" w:sz="4" w:space="0" w:color="000000"/>
              <w:bottom w:val="single" w:sz="4" w:space="0" w:color="000000"/>
              <w:right w:val="single" w:sz="4" w:space="0" w:color="000000"/>
            </w:tcBorders>
          </w:tcPr>
          <w:p w14:paraId="00C5AADC"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43,906.64</w:t>
            </w:r>
          </w:p>
        </w:tc>
        <w:tc>
          <w:tcPr>
            <w:tcW w:w="1763" w:type="dxa"/>
            <w:tcBorders>
              <w:top w:val="single" w:sz="4" w:space="0" w:color="000000"/>
              <w:left w:val="single" w:sz="4" w:space="0" w:color="000000"/>
              <w:bottom w:val="single" w:sz="4" w:space="0" w:color="000000"/>
              <w:right w:val="single" w:sz="4" w:space="0" w:color="000000"/>
            </w:tcBorders>
            <w:vAlign w:val="center"/>
          </w:tcPr>
          <w:p w14:paraId="3FC44780"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2,459.70</w:t>
            </w:r>
          </w:p>
        </w:tc>
        <w:tc>
          <w:tcPr>
            <w:tcW w:w="1587" w:type="dxa"/>
            <w:tcBorders>
              <w:top w:val="single" w:sz="4" w:space="0" w:color="000000"/>
              <w:left w:val="single" w:sz="4" w:space="0" w:color="000000"/>
              <w:bottom w:val="single" w:sz="4" w:space="0" w:color="000000"/>
              <w:right w:val="single" w:sz="4" w:space="0" w:color="000000"/>
            </w:tcBorders>
            <w:vAlign w:val="center"/>
          </w:tcPr>
          <w:p w14:paraId="6F4300BF"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5.93%</w:t>
            </w:r>
          </w:p>
        </w:tc>
      </w:tr>
      <w:tr w:rsidR="00414524" w14:paraId="3C9A0E8B"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0482FC1F"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w:t>
            </w:r>
            <w:r>
              <w:rPr>
                <w:rStyle w:val="font11"/>
                <w:rFonts w:hint="default"/>
              </w:rPr>
              <w:t>1</w:t>
            </w:r>
            <w:r>
              <w:rPr>
                <w:rStyle w:val="font11"/>
                <w:rFonts w:hint="default"/>
              </w:rPr>
              <w:t>）基本建设类项目</w:t>
            </w:r>
          </w:p>
        </w:tc>
        <w:tc>
          <w:tcPr>
            <w:tcW w:w="1623" w:type="dxa"/>
            <w:tcBorders>
              <w:top w:val="single" w:sz="4" w:space="0" w:color="000000"/>
              <w:left w:val="single" w:sz="4" w:space="0" w:color="000000"/>
              <w:bottom w:val="single" w:sz="4" w:space="0" w:color="000000"/>
              <w:right w:val="single" w:sz="4" w:space="0" w:color="000000"/>
            </w:tcBorders>
            <w:vAlign w:val="bottom"/>
          </w:tcPr>
          <w:p w14:paraId="7BA0B64C"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0.00</w:t>
            </w:r>
          </w:p>
        </w:tc>
        <w:tc>
          <w:tcPr>
            <w:tcW w:w="1662" w:type="dxa"/>
            <w:tcBorders>
              <w:top w:val="single" w:sz="4" w:space="0" w:color="000000"/>
              <w:left w:val="single" w:sz="4" w:space="0" w:color="000000"/>
              <w:bottom w:val="single" w:sz="4" w:space="0" w:color="000000"/>
              <w:right w:val="single" w:sz="4" w:space="0" w:color="000000"/>
            </w:tcBorders>
          </w:tcPr>
          <w:p w14:paraId="56EFA841"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0.00</w:t>
            </w:r>
          </w:p>
        </w:tc>
        <w:tc>
          <w:tcPr>
            <w:tcW w:w="1763" w:type="dxa"/>
            <w:tcBorders>
              <w:top w:val="single" w:sz="4" w:space="0" w:color="000000"/>
              <w:left w:val="single" w:sz="4" w:space="0" w:color="000000"/>
              <w:bottom w:val="single" w:sz="4" w:space="0" w:color="000000"/>
              <w:right w:val="single" w:sz="4" w:space="0" w:color="000000"/>
            </w:tcBorders>
            <w:vAlign w:val="center"/>
          </w:tcPr>
          <w:p w14:paraId="6321AD8B" w14:textId="77777777" w:rsidR="00414524" w:rsidRDefault="00E55B88">
            <w:pPr>
              <w:jc w:val="center"/>
              <w:rPr>
                <w:rFonts w:ascii="宋体" w:hAnsi="宋体" w:cs="宋体"/>
                <w:color w:val="000000"/>
                <w:sz w:val="22"/>
                <w:szCs w:val="22"/>
              </w:rPr>
            </w:pPr>
            <w:r>
              <w:rPr>
                <w:rFonts w:ascii="宋体" w:hAnsi="宋体" w:cs="宋体" w:hint="eastAsia"/>
                <w:color w:val="000000"/>
                <w:sz w:val="22"/>
                <w:szCs w:val="22"/>
              </w:rPr>
              <w:t>0.00</w:t>
            </w:r>
          </w:p>
        </w:tc>
        <w:tc>
          <w:tcPr>
            <w:tcW w:w="1587" w:type="dxa"/>
            <w:tcBorders>
              <w:top w:val="single" w:sz="4" w:space="0" w:color="000000"/>
              <w:left w:val="single" w:sz="4" w:space="0" w:color="000000"/>
              <w:bottom w:val="single" w:sz="4" w:space="0" w:color="000000"/>
              <w:right w:val="single" w:sz="4" w:space="0" w:color="000000"/>
            </w:tcBorders>
            <w:vAlign w:val="center"/>
          </w:tcPr>
          <w:p w14:paraId="249E448D"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0.00%</w:t>
            </w:r>
          </w:p>
        </w:tc>
      </w:tr>
      <w:tr w:rsidR="00414524" w14:paraId="726457B0"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4A22F083"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事业单位经营支出</w:t>
            </w:r>
          </w:p>
        </w:tc>
        <w:tc>
          <w:tcPr>
            <w:tcW w:w="1623" w:type="dxa"/>
            <w:tcBorders>
              <w:top w:val="single" w:sz="4" w:space="0" w:color="000000"/>
              <w:left w:val="single" w:sz="4" w:space="0" w:color="000000"/>
              <w:bottom w:val="single" w:sz="4" w:space="0" w:color="000000"/>
              <w:right w:val="single" w:sz="4" w:space="0" w:color="000000"/>
            </w:tcBorders>
            <w:vAlign w:val="bottom"/>
          </w:tcPr>
          <w:p w14:paraId="69A2B91A"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54,706.94</w:t>
            </w:r>
          </w:p>
        </w:tc>
        <w:tc>
          <w:tcPr>
            <w:tcW w:w="1662" w:type="dxa"/>
            <w:tcBorders>
              <w:top w:val="single" w:sz="4" w:space="0" w:color="000000"/>
              <w:left w:val="single" w:sz="4" w:space="0" w:color="000000"/>
              <w:bottom w:val="single" w:sz="4" w:space="0" w:color="000000"/>
              <w:right w:val="single" w:sz="4" w:space="0" w:color="000000"/>
            </w:tcBorders>
          </w:tcPr>
          <w:p w14:paraId="2675347C"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46,428.73</w:t>
            </w:r>
          </w:p>
        </w:tc>
        <w:tc>
          <w:tcPr>
            <w:tcW w:w="1763" w:type="dxa"/>
            <w:tcBorders>
              <w:top w:val="single" w:sz="4" w:space="0" w:color="000000"/>
              <w:left w:val="single" w:sz="4" w:space="0" w:color="000000"/>
              <w:bottom w:val="single" w:sz="4" w:space="0" w:color="000000"/>
              <w:right w:val="single" w:sz="4" w:space="0" w:color="000000"/>
            </w:tcBorders>
            <w:vAlign w:val="center"/>
          </w:tcPr>
          <w:p w14:paraId="469FF513"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-8,278.21</w:t>
            </w:r>
          </w:p>
        </w:tc>
        <w:tc>
          <w:tcPr>
            <w:tcW w:w="1587" w:type="dxa"/>
            <w:tcBorders>
              <w:top w:val="single" w:sz="4" w:space="0" w:color="000000"/>
              <w:left w:val="single" w:sz="4" w:space="0" w:color="000000"/>
              <w:bottom w:val="single" w:sz="4" w:space="0" w:color="000000"/>
              <w:right w:val="single" w:sz="4" w:space="0" w:color="000000"/>
            </w:tcBorders>
            <w:vAlign w:val="center"/>
          </w:tcPr>
          <w:p w14:paraId="0C5CFD1F"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-15.13%</w:t>
            </w:r>
          </w:p>
        </w:tc>
      </w:tr>
      <w:tr w:rsidR="00414524" w14:paraId="6AC195C7" w14:textId="77777777">
        <w:trPr>
          <w:trHeight w:val="315"/>
        </w:trPr>
        <w:tc>
          <w:tcPr>
            <w:tcW w:w="3367" w:type="dxa"/>
            <w:tcBorders>
              <w:top w:val="single" w:sz="4" w:space="0" w:color="000000"/>
              <w:left w:val="single" w:sz="4" w:space="0" w:color="000000"/>
              <w:bottom w:val="single" w:sz="4" w:space="0" w:color="000000"/>
              <w:right w:val="single" w:sz="4" w:space="0" w:color="000000"/>
            </w:tcBorders>
            <w:vAlign w:val="bottom"/>
          </w:tcPr>
          <w:p w14:paraId="56BBC0F2" w14:textId="77777777" w:rsidR="00414524" w:rsidRDefault="00E55B88">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 xml:space="preserve">     </w:t>
            </w:r>
            <w:r>
              <w:rPr>
                <w:rStyle w:val="font11"/>
                <w:rFonts w:hint="default"/>
              </w:rPr>
              <w:t>对附属单位补助支出</w:t>
            </w:r>
          </w:p>
        </w:tc>
        <w:tc>
          <w:tcPr>
            <w:tcW w:w="1623" w:type="dxa"/>
            <w:tcBorders>
              <w:top w:val="single" w:sz="4" w:space="0" w:color="000000"/>
              <w:left w:val="single" w:sz="4" w:space="0" w:color="000000"/>
              <w:bottom w:val="single" w:sz="4" w:space="0" w:color="000000"/>
              <w:right w:val="single" w:sz="4" w:space="0" w:color="000000"/>
            </w:tcBorders>
            <w:vAlign w:val="bottom"/>
          </w:tcPr>
          <w:p w14:paraId="2BB3A647" w14:textId="77777777" w:rsidR="00414524" w:rsidRDefault="00E55B88">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10,100.00</w:t>
            </w:r>
          </w:p>
        </w:tc>
        <w:tc>
          <w:tcPr>
            <w:tcW w:w="1662" w:type="dxa"/>
            <w:tcBorders>
              <w:top w:val="single" w:sz="4" w:space="0" w:color="000000"/>
              <w:left w:val="single" w:sz="4" w:space="0" w:color="000000"/>
              <w:bottom w:val="single" w:sz="4" w:space="0" w:color="000000"/>
              <w:right w:val="single" w:sz="4" w:space="0" w:color="000000"/>
            </w:tcBorders>
          </w:tcPr>
          <w:p w14:paraId="37E67179" w14:textId="77777777" w:rsidR="00414524" w:rsidRDefault="00E55B8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336</w:t>
            </w:r>
          </w:p>
        </w:tc>
        <w:tc>
          <w:tcPr>
            <w:tcW w:w="1763" w:type="dxa"/>
            <w:tcBorders>
              <w:top w:val="single" w:sz="4" w:space="0" w:color="000000"/>
              <w:left w:val="single" w:sz="4" w:space="0" w:color="000000"/>
              <w:bottom w:val="single" w:sz="4" w:space="0" w:color="000000"/>
              <w:right w:val="single" w:sz="4" w:space="0" w:color="000000"/>
            </w:tcBorders>
            <w:vAlign w:val="center"/>
          </w:tcPr>
          <w:p w14:paraId="3B3747FD"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-9,764.00</w:t>
            </w:r>
          </w:p>
        </w:tc>
        <w:tc>
          <w:tcPr>
            <w:tcW w:w="1587" w:type="dxa"/>
            <w:tcBorders>
              <w:top w:val="single" w:sz="4" w:space="0" w:color="000000"/>
              <w:left w:val="single" w:sz="4" w:space="0" w:color="000000"/>
              <w:bottom w:val="single" w:sz="4" w:space="0" w:color="000000"/>
              <w:right w:val="single" w:sz="4" w:space="0" w:color="000000"/>
            </w:tcBorders>
            <w:vAlign w:val="center"/>
          </w:tcPr>
          <w:p w14:paraId="4631632B" w14:textId="77777777" w:rsidR="00414524" w:rsidRDefault="00E55B8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-96.67%</w:t>
            </w:r>
          </w:p>
        </w:tc>
      </w:tr>
    </w:tbl>
    <w:p w14:paraId="50D3A5C0" w14:textId="77777777" w:rsidR="00414524" w:rsidRDefault="00E55B88">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差异原因分析</w:t>
      </w:r>
    </w:p>
    <w:p w14:paraId="6EDA96BD" w14:textId="77777777" w:rsidR="00414524" w:rsidRDefault="00E55B88">
      <w:pPr>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单位收入本年</w:t>
      </w:r>
      <w:r>
        <w:rPr>
          <w:rFonts w:ascii="仿宋_GB2312" w:eastAsia="仿宋_GB2312" w:hAnsi="仿宋" w:hint="eastAsia"/>
          <w:sz w:val="32"/>
          <w:szCs w:val="32"/>
        </w:rPr>
        <w:t>151262.44</w:t>
      </w:r>
      <w:r>
        <w:rPr>
          <w:rFonts w:ascii="仿宋_GB2312" w:eastAsia="仿宋_GB2312" w:hAnsi="仿宋" w:hint="eastAsia"/>
          <w:sz w:val="32"/>
          <w:szCs w:val="32"/>
        </w:rPr>
        <w:t>万元，预算收入</w:t>
      </w:r>
      <w:r>
        <w:rPr>
          <w:rFonts w:ascii="仿宋_GB2312" w:eastAsia="仿宋_GB2312" w:hAnsi="仿宋" w:hint="eastAsia"/>
          <w:sz w:val="32"/>
          <w:szCs w:val="32"/>
        </w:rPr>
        <w:t>161176.60</w:t>
      </w:r>
      <w:r>
        <w:rPr>
          <w:rFonts w:ascii="仿宋_GB2312" w:eastAsia="仿宋_GB2312" w:hAnsi="仿宋" w:hint="eastAsia"/>
          <w:sz w:val="32"/>
          <w:szCs w:val="32"/>
        </w:rPr>
        <w:t>万元，同比增减额</w:t>
      </w:r>
      <w:r>
        <w:rPr>
          <w:rFonts w:ascii="仿宋_GB2312" w:eastAsia="仿宋_GB2312" w:hAnsi="仿宋" w:hint="eastAsia"/>
          <w:sz w:val="32"/>
          <w:szCs w:val="32"/>
        </w:rPr>
        <w:t>-9,914.16</w:t>
      </w:r>
      <w:r>
        <w:rPr>
          <w:rFonts w:ascii="仿宋_GB2312" w:eastAsia="仿宋_GB2312" w:hAnsi="仿宋" w:hint="eastAsia"/>
          <w:sz w:val="32"/>
          <w:szCs w:val="32"/>
        </w:rPr>
        <w:t>万元，同比增减率</w:t>
      </w:r>
      <w:r>
        <w:rPr>
          <w:rFonts w:ascii="仿宋_GB2312" w:eastAsia="仿宋_GB2312" w:hAnsi="仿宋" w:hint="eastAsia"/>
          <w:sz w:val="32"/>
          <w:szCs w:val="32"/>
        </w:rPr>
        <w:t>-6.15%</w:t>
      </w:r>
      <w:r>
        <w:rPr>
          <w:rFonts w:ascii="仿宋_GB2312" w:eastAsia="仿宋_GB2312" w:hAnsi="仿宋" w:hint="eastAsia"/>
          <w:sz w:val="32"/>
          <w:szCs w:val="32"/>
        </w:rPr>
        <w:t>。单位支出本年</w:t>
      </w:r>
      <w:r>
        <w:rPr>
          <w:rFonts w:ascii="仿宋_GB2312" w:eastAsia="仿宋_GB2312" w:hAnsi="仿宋" w:hint="eastAsia"/>
          <w:sz w:val="32"/>
          <w:szCs w:val="32"/>
        </w:rPr>
        <w:t>150,745.77</w:t>
      </w:r>
      <w:r>
        <w:rPr>
          <w:rFonts w:ascii="仿宋_GB2312" w:eastAsia="仿宋_GB2312" w:hAnsi="仿宋" w:hint="eastAsia"/>
          <w:sz w:val="32"/>
          <w:szCs w:val="32"/>
        </w:rPr>
        <w:t>万元，预算支出</w:t>
      </w:r>
      <w:r>
        <w:rPr>
          <w:rFonts w:ascii="仿宋_GB2312" w:eastAsia="仿宋_GB2312" w:hAnsi="仿宋" w:hint="eastAsia"/>
          <w:sz w:val="32"/>
          <w:szCs w:val="32"/>
        </w:rPr>
        <w:t>182,349.87</w:t>
      </w:r>
      <w:r>
        <w:rPr>
          <w:rFonts w:ascii="仿宋_GB2312" w:eastAsia="仿宋_GB2312" w:hAnsi="仿宋" w:hint="eastAsia"/>
          <w:sz w:val="32"/>
          <w:szCs w:val="32"/>
        </w:rPr>
        <w:t>万元，同比增减额</w:t>
      </w:r>
      <w:r>
        <w:rPr>
          <w:rFonts w:ascii="仿宋_GB2312" w:eastAsia="仿宋_GB2312" w:hAnsi="仿宋" w:hint="eastAsia"/>
          <w:sz w:val="32"/>
          <w:szCs w:val="32"/>
        </w:rPr>
        <w:t>-31,604.10</w:t>
      </w:r>
      <w:r>
        <w:rPr>
          <w:rFonts w:ascii="仿宋_GB2312" w:eastAsia="仿宋_GB2312" w:hAnsi="仿宋" w:hint="eastAsia"/>
          <w:sz w:val="32"/>
          <w:szCs w:val="32"/>
        </w:rPr>
        <w:t>万元，同比增减率</w:t>
      </w:r>
      <w:r>
        <w:rPr>
          <w:rFonts w:ascii="仿宋_GB2312" w:eastAsia="仿宋_GB2312" w:hAnsi="仿宋" w:hint="eastAsia"/>
          <w:sz w:val="32"/>
          <w:szCs w:val="32"/>
        </w:rPr>
        <w:t>-17.33%</w:t>
      </w:r>
      <w:r>
        <w:rPr>
          <w:rFonts w:ascii="仿宋_GB2312" w:eastAsia="仿宋_GB2312" w:hAnsi="仿宋" w:hint="eastAsia"/>
          <w:sz w:val="32"/>
          <w:szCs w:val="32"/>
        </w:rPr>
        <w:t>。增减变动原因主要为根据实际情况和项目进度形成的差异。</w:t>
      </w:r>
    </w:p>
    <w:p w14:paraId="3E2C1E3D" w14:textId="77777777" w:rsidR="00414524" w:rsidRDefault="00E55B88">
      <w:pPr>
        <w:snapToGrid w:val="0"/>
        <w:spacing w:line="600" w:lineRule="exact"/>
        <w:ind w:firstLineChars="200" w:firstLine="640"/>
        <w:outlineLvl w:val="0"/>
        <w:rPr>
          <w:rFonts w:ascii="仿宋_GB2312" w:eastAsia="仿宋_GB2312" w:hAnsi="仿宋"/>
          <w:sz w:val="32"/>
          <w:szCs w:val="32"/>
        </w:rPr>
      </w:pPr>
      <w:bookmarkStart w:id="20" w:name="_Toc2136"/>
      <w:r>
        <w:rPr>
          <w:rFonts w:ascii="黑体" w:eastAsia="黑体" w:hAnsi="黑体" w:cs="黑体" w:hint="eastAsia"/>
          <w:sz w:val="32"/>
          <w:szCs w:val="32"/>
        </w:rPr>
        <w:t>五、总体评价结论</w:t>
      </w:r>
      <w:bookmarkEnd w:id="20"/>
    </w:p>
    <w:p w14:paraId="7A2B0E53" w14:textId="77777777" w:rsidR="00414524" w:rsidRDefault="00E55B88">
      <w:pPr>
        <w:spacing w:line="600" w:lineRule="exact"/>
        <w:ind w:firstLineChars="200" w:firstLine="640"/>
        <w:outlineLvl w:val="1"/>
        <w:rPr>
          <w:rFonts w:ascii="楷体_GB2312" w:eastAsia="楷体_GB2312"/>
          <w:sz w:val="32"/>
          <w:szCs w:val="32"/>
        </w:rPr>
      </w:pPr>
      <w:bookmarkStart w:id="21" w:name="_Toc10495"/>
      <w:r>
        <w:rPr>
          <w:rFonts w:ascii="楷体_GB2312" w:eastAsia="楷体_GB2312" w:hint="eastAsia"/>
          <w:sz w:val="32"/>
          <w:szCs w:val="32"/>
        </w:rPr>
        <w:t>（一）评价得分情况</w:t>
      </w:r>
      <w:bookmarkEnd w:id="21"/>
    </w:p>
    <w:p w14:paraId="30247FB1" w14:textId="77777777" w:rsidR="00414524" w:rsidRDefault="00E55B88">
      <w:pPr>
        <w:spacing w:line="600" w:lineRule="exact"/>
        <w:ind w:firstLineChars="200" w:firstLine="640"/>
        <w:rPr>
          <w:rFonts w:ascii="仿宋_GB2312" w:eastAsia="仿宋_GB2312"/>
          <w:sz w:val="32"/>
          <w:szCs w:val="32"/>
        </w:rPr>
      </w:pPr>
      <w:r>
        <w:rPr>
          <w:rFonts w:ascii="仿宋_GB2312" w:eastAsia="仿宋_GB2312" w:hint="eastAsia"/>
          <w:sz w:val="32"/>
          <w:szCs w:val="32"/>
        </w:rPr>
        <w:t>经绩效评价：市福利中心</w:t>
      </w:r>
      <w:r>
        <w:rPr>
          <w:rFonts w:ascii="仿宋_GB2312" w:eastAsia="仿宋_GB2312" w:hint="eastAsia"/>
          <w:sz w:val="32"/>
          <w:szCs w:val="32"/>
        </w:rPr>
        <w:t>2024</w:t>
      </w:r>
      <w:r>
        <w:rPr>
          <w:rFonts w:ascii="仿宋_GB2312" w:eastAsia="仿宋_GB2312" w:hint="eastAsia"/>
          <w:sz w:val="32"/>
          <w:szCs w:val="32"/>
        </w:rPr>
        <w:t>年度选取了下属单位北京市儿童福利院的“政府供养保障对象生活费”项目开展部门重点绩效评价工作，并出具了《项目支出绩效评价报告》，部门重点项目绩效评价评定为“优”，部门整体绩效评价评定为“良”。</w:t>
      </w:r>
    </w:p>
    <w:p w14:paraId="247ABB07" w14:textId="77777777" w:rsidR="00414524" w:rsidRDefault="00E55B88">
      <w:pPr>
        <w:spacing w:line="600" w:lineRule="exact"/>
        <w:ind w:firstLineChars="200" w:firstLine="640"/>
        <w:outlineLvl w:val="1"/>
        <w:rPr>
          <w:rFonts w:ascii="楷体_GB2312" w:eastAsia="楷体_GB2312"/>
          <w:sz w:val="32"/>
          <w:szCs w:val="32"/>
        </w:rPr>
      </w:pPr>
      <w:bookmarkStart w:id="22" w:name="_Toc6025"/>
      <w:r>
        <w:rPr>
          <w:rFonts w:ascii="楷体_GB2312" w:eastAsia="楷体_GB2312" w:hint="eastAsia"/>
          <w:sz w:val="32"/>
          <w:szCs w:val="32"/>
        </w:rPr>
        <w:lastRenderedPageBreak/>
        <w:t>（二）存在的问题及原因分析</w:t>
      </w:r>
      <w:bookmarkEnd w:id="22"/>
    </w:p>
    <w:p w14:paraId="11A44F25" w14:textId="77777777" w:rsidR="00414524" w:rsidRDefault="00E55B88">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因对人员调动及休养员流转估计不足，造成部分经费未执行；</w:t>
      </w:r>
    </w:p>
    <w:p w14:paraId="08A024DD" w14:textId="77777777" w:rsidR="00414524" w:rsidRDefault="00E55B88">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日常保障经费项目用于保障机构内运转正常，项目中包含多个子项目，存在项目责任处室及负责人不清晰，及各子项目的管理和执行协调不足的问题；</w:t>
      </w:r>
    </w:p>
    <w:p w14:paraId="513E93F8" w14:textId="77777777" w:rsidR="00414524" w:rsidRDefault="00E55B88">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预算一体化系统使用不够熟练，编制预算及预算执行中存在误操作；</w:t>
      </w:r>
      <w:r>
        <w:rPr>
          <w:rFonts w:ascii="仿宋_GB2312" w:eastAsia="仿宋_GB2312" w:hint="eastAsia"/>
          <w:sz w:val="32"/>
          <w:szCs w:val="32"/>
        </w:rPr>
        <w:t>预算一体化系统政府采购立项及采购支付需进一步学习和了解；</w:t>
      </w:r>
    </w:p>
    <w:p w14:paraId="4647F365" w14:textId="77777777" w:rsidR="00414524" w:rsidRDefault="00E55B88">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市属福利机构整合发展涉及范围广，在功能定位、人员调配、资产处置、编制调整、服务对象安置等方面需要政策支持及指引，在论证实施过程中可能存在风险隐患及不确定因素，需市级层面给予政策支持、评估论证及可行性分析；</w:t>
      </w:r>
    </w:p>
    <w:p w14:paraId="39B1CE65" w14:textId="77777777" w:rsidR="00414524" w:rsidRDefault="00E55B88">
      <w:pPr>
        <w:spacing w:line="60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基层单位基础设施设备老化情况严重，存在一定的安全隐患。福利机构普遍</w:t>
      </w:r>
      <w:r>
        <w:rPr>
          <w:rFonts w:ascii="仿宋_GB2312" w:eastAsia="仿宋_GB2312" w:hint="eastAsia"/>
          <w:sz w:val="32"/>
          <w:szCs w:val="32"/>
          <w:lang w:val="zh-TW"/>
        </w:rPr>
        <w:t>建院较早，生活和消防设施设备老化，建筑布局与现行</w:t>
      </w:r>
      <w:r>
        <w:rPr>
          <w:rFonts w:ascii="仿宋_GB2312" w:eastAsia="仿宋_GB2312" w:hint="eastAsia"/>
          <w:sz w:val="32"/>
          <w:szCs w:val="32"/>
        </w:rPr>
        <w:t>消防技术规范要求不符；个别殡葬单位建设规划理念落后、房屋产权不清晰、服务环境不够人性化、业务信息化支撑不足。</w:t>
      </w:r>
    </w:p>
    <w:p w14:paraId="301B6A73" w14:textId="77777777" w:rsidR="00414524" w:rsidRDefault="00E55B88">
      <w:pPr>
        <w:spacing w:line="600" w:lineRule="exact"/>
        <w:ind w:firstLineChars="200" w:firstLine="640"/>
        <w:outlineLvl w:val="0"/>
        <w:rPr>
          <w:rFonts w:ascii="黑体" w:eastAsia="黑体" w:hAnsi="黑体" w:cs="宋体"/>
          <w:kern w:val="0"/>
          <w:sz w:val="32"/>
          <w:szCs w:val="32"/>
        </w:rPr>
      </w:pPr>
      <w:bookmarkStart w:id="23" w:name="_Toc7769"/>
      <w:r>
        <w:rPr>
          <w:rFonts w:ascii="黑体" w:eastAsia="黑体" w:hAnsi="黑体" w:cs="宋体" w:hint="eastAsia"/>
          <w:kern w:val="0"/>
          <w:sz w:val="32"/>
          <w:szCs w:val="32"/>
        </w:rPr>
        <w:t>六、措施建议</w:t>
      </w:r>
      <w:bookmarkEnd w:id="23"/>
    </w:p>
    <w:p w14:paraId="16055C7A" w14:textId="77777777" w:rsidR="00414524" w:rsidRDefault="00E55B88">
      <w:pPr>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加强业财融合，及时与业务部门对接，协调做好人员调动及休养员流转相关事项的管理工作，按照能省则省、能压尽压的原则执行；</w:t>
      </w:r>
    </w:p>
    <w:p w14:paraId="6D7DDC87" w14:textId="77777777" w:rsidR="00414524" w:rsidRDefault="00E55B88">
      <w:pPr>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完善项目管理组织实施方案，做到有效的过程控制、</w:t>
      </w:r>
      <w:r>
        <w:rPr>
          <w:rFonts w:ascii="仿宋_GB2312" w:eastAsia="仿宋_GB2312" w:hAnsi="仿宋_GB2312" w:cs="仿宋_GB2312" w:hint="eastAsia"/>
          <w:sz w:val="32"/>
          <w:szCs w:val="32"/>
        </w:rPr>
        <w:lastRenderedPageBreak/>
        <w:t>进度控制、质量控制，确保项目的顺利实施；</w:t>
      </w:r>
    </w:p>
    <w:p w14:paraId="59BB227F" w14:textId="77777777" w:rsidR="00414524" w:rsidRDefault="00E55B88">
      <w:pPr>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进一步熟悉预算一体化系统各项操作流程，减少项目实施风险，积极与财政部门、软件保障沟通，确保工作顺利开展；</w:t>
      </w:r>
    </w:p>
    <w:p w14:paraId="342B59A5" w14:textId="77777777" w:rsidR="00414524" w:rsidRDefault="00E55B88">
      <w:pPr>
        <w:snapToGrid w:val="0"/>
        <w:spacing w:line="600" w:lineRule="exact"/>
        <w:ind w:firstLineChars="200" w:firstLine="640"/>
        <w:rPr>
          <w:rFonts w:ascii="仿宋_GB2312" w:eastAsia="仿宋_GB2312" w:hAnsi="仿宋_GB2312" w:cs="仿宋_GB2312"/>
          <w:sz w:val="32"/>
          <w:szCs w:val="32"/>
          <w:shd w:val="clear" w:color="070000" w:fill="auto"/>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加大与民政局相关处室的沟通协调力度，全面研判方案论证实施</w:t>
      </w:r>
      <w:r>
        <w:rPr>
          <w:rFonts w:ascii="仿宋_GB2312" w:eastAsia="仿宋_GB2312" w:hAnsi="仿宋_GB2312" w:cs="仿宋_GB2312" w:hint="eastAsia"/>
          <w:sz w:val="32"/>
          <w:szCs w:val="32"/>
          <w:shd w:val="clear" w:color="070000" w:fill="auto"/>
        </w:rPr>
        <w:t>过程中的风险隐患，科学制定统筹发展方案，有针对性制定应对方案及措施，确保福利机构资源整合发展工作有序推进；</w:t>
      </w:r>
    </w:p>
    <w:p w14:paraId="207EA29E" w14:textId="77777777" w:rsidR="00414524" w:rsidRDefault="00E55B88">
      <w:pPr>
        <w:snapToGrid w:val="0"/>
        <w:spacing w:line="600" w:lineRule="exact"/>
        <w:ind w:firstLineChars="200" w:firstLine="640"/>
        <w:rPr>
          <w:rFonts w:eastAsia="仿宋_GB2312"/>
          <w:sz w:val="32"/>
          <w:szCs w:val="32"/>
          <w:shd w:val="clear" w:color="070000" w:fill="auto"/>
        </w:rPr>
      </w:pPr>
      <w:r>
        <w:rPr>
          <w:rFonts w:ascii="仿宋_GB2312" w:eastAsia="仿宋_GB2312" w:hAnsi="仿宋_GB2312" w:cs="仿宋_GB2312" w:hint="eastAsia"/>
          <w:sz w:val="32"/>
          <w:szCs w:val="32"/>
          <w:shd w:val="clear" w:color="070000" w:fill="auto"/>
        </w:rPr>
        <w:t>5.</w:t>
      </w:r>
      <w:r>
        <w:rPr>
          <w:rFonts w:ascii="仿宋_GB2312" w:eastAsia="仿宋_GB2312" w:hAnsi="仿宋_GB2312" w:cs="仿宋_GB2312" w:hint="eastAsia"/>
          <w:sz w:val="32"/>
          <w:szCs w:val="32"/>
        </w:rPr>
        <w:t>开展不间断的安全</w:t>
      </w:r>
      <w:r>
        <w:rPr>
          <w:rFonts w:ascii="仿宋_GB2312" w:eastAsia="仿宋_GB2312" w:hAnsi="仿宋_GB2312" w:cs="仿宋_GB2312" w:hint="eastAsia"/>
          <w:sz w:val="32"/>
          <w:szCs w:val="32"/>
        </w:rPr>
        <w:t>隐患排查，</w:t>
      </w:r>
      <w:r>
        <w:rPr>
          <w:rFonts w:ascii="仿宋_GB2312" w:eastAsia="仿宋_GB2312" w:hAnsi="仿宋_GB2312" w:cs="仿宋_GB2312" w:hint="eastAsia"/>
          <w:sz w:val="32"/>
          <w:szCs w:val="32"/>
          <w:lang w:val="zh-TW"/>
        </w:rPr>
        <w:t>加大人防、物防、技防力量，</w:t>
      </w:r>
      <w:r>
        <w:rPr>
          <w:rFonts w:ascii="仿宋_GB2312" w:eastAsia="仿宋_GB2312" w:hAnsi="仿宋_GB2312" w:cs="仿宋_GB2312" w:hint="eastAsia"/>
          <w:sz w:val="32"/>
          <w:szCs w:val="32"/>
        </w:rPr>
        <w:t>加强专业培训、应急演练，不断强化人员专业知识技能。结合老旧情况及紧急程度，及时启动应急抢修项目，加快项目实施进程，同时科学统筹整体改造和应急处置项目，做好整体改造更新规划，从根本上解决安全隐患。</w:t>
      </w:r>
    </w:p>
    <w:sectPr w:rsidR="00414524">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D1DE0" w14:textId="77777777" w:rsidR="00E55B88" w:rsidRDefault="00E55B88">
      <w:r>
        <w:separator/>
      </w:r>
    </w:p>
  </w:endnote>
  <w:endnote w:type="continuationSeparator" w:id="0">
    <w:p w14:paraId="4F509AD2" w14:textId="77777777" w:rsidR="00E55B88" w:rsidRDefault="00E5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default"/>
    <w:sig w:usb0="00000000" w:usb1="0000000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1C863" w14:textId="77777777" w:rsidR="00414524" w:rsidRDefault="00414524">
    <w:pPr>
      <w:pStyle w:val="a5"/>
      <w:jc w:val="center"/>
    </w:pPr>
  </w:p>
  <w:p w14:paraId="072334ED" w14:textId="77777777" w:rsidR="00414524" w:rsidRDefault="0041452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78BE6" w14:textId="77777777" w:rsidR="00414524" w:rsidRDefault="00E55B88">
    <w:pPr>
      <w:pStyle w:val="a5"/>
      <w:jc w:val="cente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005625F6" w:rsidRPr="005625F6">
      <w:rPr>
        <w:rFonts w:ascii="宋体" w:hAnsi="宋体"/>
        <w:noProof/>
        <w:sz w:val="28"/>
        <w:szCs w:val="28"/>
        <w:lang w:val="zh-CN"/>
      </w:rPr>
      <w:t>17</w:t>
    </w:r>
    <w:r>
      <w:rPr>
        <w:rFonts w:ascii="宋体" w:hAnsi="宋体"/>
        <w:sz w:val="28"/>
        <w:szCs w:val="28"/>
      </w:rPr>
      <w:fldChar w:fldCharType="end"/>
    </w:r>
  </w:p>
  <w:p w14:paraId="292D2211" w14:textId="77777777" w:rsidR="00414524" w:rsidRDefault="0041452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2D5E6" w14:textId="77777777" w:rsidR="00E55B88" w:rsidRDefault="00E55B88">
      <w:r>
        <w:separator/>
      </w:r>
    </w:p>
  </w:footnote>
  <w:footnote w:type="continuationSeparator" w:id="0">
    <w:p w14:paraId="13F94845" w14:textId="77777777" w:rsidR="00E55B88" w:rsidRDefault="00E55B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RmNGIxNTcwMjEzZTBhZmU2NzA2MDkzYzE0MTFmMGIifQ=="/>
  </w:docVars>
  <w:rsids>
    <w:rsidRoot w:val="00EA28B9"/>
    <w:rsid w:val="FB9B9927"/>
    <w:rsid w:val="00010C55"/>
    <w:rsid w:val="00015325"/>
    <w:rsid w:val="00015FFF"/>
    <w:rsid w:val="000316E8"/>
    <w:rsid w:val="00055E92"/>
    <w:rsid w:val="00062156"/>
    <w:rsid w:val="0006637B"/>
    <w:rsid w:val="0008212D"/>
    <w:rsid w:val="000A6709"/>
    <w:rsid w:val="000A68CA"/>
    <w:rsid w:val="000A73AC"/>
    <w:rsid w:val="000C771F"/>
    <w:rsid w:val="000E2E18"/>
    <w:rsid w:val="000E5BA3"/>
    <w:rsid w:val="00101F41"/>
    <w:rsid w:val="001032B7"/>
    <w:rsid w:val="001053EC"/>
    <w:rsid w:val="0011143C"/>
    <w:rsid w:val="0012454F"/>
    <w:rsid w:val="001372FF"/>
    <w:rsid w:val="00141A2D"/>
    <w:rsid w:val="00141CD0"/>
    <w:rsid w:val="001474D5"/>
    <w:rsid w:val="00155B7F"/>
    <w:rsid w:val="00156135"/>
    <w:rsid w:val="00174055"/>
    <w:rsid w:val="001D43ED"/>
    <w:rsid w:val="001D4658"/>
    <w:rsid w:val="001E5229"/>
    <w:rsid w:val="001F61EC"/>
    <w:rsid w:val="00222CCB"/>
    <w:rsid w:val="002305AB"/>
    <w:rsid w:val="00236664"/>
    <w:rsid w:val="002411B0"/>
    <w:rsid w:val="00251DE4"/>
    <w:rsid w:val="00260F82"/>
    <w:rsid w:val="0027433C"/>
    <w:rsid w:val="00282D13"/>
    <w:rsid w:val="002A3827"/>
    <w:rsid w:val="002B11FA"/>
    <w:rsid w:val="002B6958"/>
    <w:rsid w:val="002C7E72"/>
    <w:rsid w:val="002D1F14"/>
    <w:rsid w:val="002D268E"/>
    <w:rsid w:val="002D516D"/>
    <w:rsid w:val="002D7CC3"/>
    <w:rsid w:val="002E6193"/>
    <w:rsid w:val="002F4C98"/>
    <w:rsid w:val="00303D45"/>
    <w:rsid w:val="003071B7"/>
    <w:rsid w:val="00312020"/>
    <w:rsid w:val="00312AF6"/>
    <w:rsid w:val="0032322C"/>
    <w:rsid w:val="00333D4C"/>
    <w:rsid w:val="00354F3B"/>
    <w:rsid w:val="0035795B"/>
    <w:rsid w:val="00372E34"/>
    <w:rsid w:val="00374AEF"/>
    <w:rsid w:val="00377B3A"/>
    <w:rsid w:val="00381272"/>
    <w:rsid w:val="00385F95"/>
    <w:rsid w:val="003919E4"/>
    <w:rsid w:val="00392713"/>
    <w:rsid w:val="003B2E00"/>
    <w:rsid w:val="003B4F8B"/>
    <w:rsid w:val="003D28C1"/>
    <w:rsid w:val="003E4C0A"/>
    <w:rsid w:val="003F078F"/>
    <w:rsid w:val="003F385F"/>
    <w:rsid w:val="003F5F17"/>
    <w:rsid w:val="00411F8C"/>
    <w:rsid w:val="00414524"/>
    <w:rsid w:val="00415ED1"/>
    <w:rsid w:val="00421BD9"/>
    <w:rsid w:val="00433801"/>
    <w:rsid w:val="00463E23"/>
    <w:rsid w:val="0049499B"/>
    <w:rsid w:val="0049612A"/>
    <w:rsid w:val="004B1D2B"/>
    <w:rsid w:val="004B5E8F"/>
    <w:rsid w:val="004C0D68"/>
    <w:rsid w:val="004C653E"/>
    <w:rsid w:val="004E7709"/>
    <w:rsid w:val="004F5541"/>
    <w:rsid w:val="00500138"/>
    <w:rsid w:val="00521A16"/>
    <w:rsid w:val="005330D1"/>
    <w:rsid w:val="00542846"/>
    <w:rsid w:val="005525B7"/>
    <w:rsid w:val="005560F1"/>
    <w:rsid w:val="005607F3"/>
    <w:rsid w:val="00561168"/>
    <w:rsid w:val="005625F6"/>
    <w:rsid w:val="005747BD"/>
    <w:rsid w:val="00582D6B"/>
    <w:rsid w:val="005A32AF"/>
    <w:rsid w:val="005C55FE"/>
    <w:rsid w:val="005D35FB"/>
    <w:rsid w:val="005E1579"/>
    <w:rsid w:val="005E3D6F"/>
    <w:rsid w:val="005E707E"/>
    <w:rsid w:val="005F0B6E"/>
    <w:rsid w:val="00621C56"/>
    <w:rsid w:val="006412C2"/>
    <w:rsid w:val="00670DBF"/>
    <w:rsid w:val="00683515"/>
    <w:rsid w:val="00686A6A"/>
    <w:rsid w:val="00687560"/>
    <w:rsid w:val="00695D3F"/>
    <w:rsid w:val="006A1880"/>
    <w:rsid w:val="006A4624"/>
    <w:rsid w:val="006B3909"/>
    <w:rsid w:val="006C366F"/>
    <w:rsid w:val="006C4F61"/>
    <w:rsid w:val="006E0CAC"/>
    <w:rsid w:val="006F1D7A"/>
    <w:rsid w:val="006F2699"/>
    <w:rsid w:val="00707CF9"/>
    <w:rsid w:val="00714C25"/>
    <w:rsid w:val="00721F7C"/>
    <w:rsid w:val="00725C8C"/>
    <w:rsid w:val="00735EAA"/>
    <w:rsid w:val="007453D3"/>
    <w:rsid w:val="00746C6D"/>
    <w:rsid w:val="007515D1"/>
    <w:rsid w:val="00754E40"/>
    <w:rsid w:val="00756714"/>
    <w:rsid w:val="00772B1F"/>
    <w:rsid w:val="007771DD"/>
    <w:rsid w:val="007B4BA7"/>
    <w:rsid w:val="007B7B29"/>
    <w:rsid w:val="007C7979"/>
    <w:rsid w:val="007D418A"/>
    <w:rsid w:val="007F083C"/>
    <w:rsid w:val="007F0C01"/>
    <w:rsid w:val="007F32D8"/>
    <w:rsid w:val="00801038"/>
    <w:rsid w:val="00802851"/>
    <w:rsid w:val="00807290"/>
    <w:rsid w:val="00807F6E"/>
    <w:rsid w:val="00813C43"/>
    <w:rsid w:val="00817500"/>
    <w:rsid w:val="008314C0"/>
    <w:rsid w:val="00843CC3"/>
    <w:rsid w:val="008565C9"/>
    <w:rsid w:val="0086104D"/>
    <w:rsid w:val="0088103F"/>
    <w:rsid w:val="00896F16"/>
    <w:rsid w:val="008A0790"/>
    <w:rsid w:val="008A0ECF"/>
    <w:rsid w:val="008A10C1"/>
    <w:rsid w:val="008C2E6C"/>
    <w:rsid w:val="008E7134"/>
    <w:rsid w:val="008F18F7"/>
    <w:rsid w:val="009049E5"/>
    <w:rsid w:val="00917EC0"/>
    <w:rsid w:val="009205BA"/>
    <w:rsid w:val="00922C51"/>
    <w:rsid w:val="00923596"/>
    <w:rsid w:val="00923757"/>
    <w:rsid w:val="009269C6"/>
    <w:rsid w:val="00931B48"/>
    <w:rsid w:val="00934B35"/>
    <w:rsid w:val="0096287F"/>
    <w:rsid w:val="0096368F"/>
    <w:rsid w:val="00966DC6"/>
    <w:rsid w:val="00967033"/>
    <w:rsid w:val="0097178D"/>
    <w:rsid w:val="00971FE9"/>
    <w:rsid w:val="00991C6B"/>
    <w:rsid w:val="00993A5B"/>
    <w:rsid w:val="009D03FD"/>
    <w:rsid w:val="009D2E9F"/>
    <w:rsid w:val="009D31C7"/>
    <w:rsid w:val="009E236B"/>
    <w:rsid w:val="009F30EB"/>
    <w:rsid w:val="009F427B"/>
    <w:rsid w:val="00A14AAF"/>
    <w:rsid w:val="00A2034D"/>
    <w:rsid w:val="00A3093D"/>
    <w:rsid w:val="00A31682"/>
    <w:rsid w:val="00A3209C"/>
    <w:rsid w:val="00A412C8"/>
    <w:rsid w:val="00A47315"/>
    <w:rsid w:val="00A52801"/>
    <w:rsid w:val="00A56D2C"/>
    <w:rsid w:val="00A573AD"/>
    <w:rsid w:val="00A62467"/>
    <w:rsid w:val="00A743C0"/>
    <w:rsid w:val="00AA627B"/>
    <w:rsid w:val="00AB3236"/>
    <w:rsid w:val="00AC43B5"/>
    <w:rsid w:val="00AC6442"/>
    <w:rsid w:val="00AD5235"/>
    <w:rsid w:val="00AE0D7E"/>
    <w:rsid w:val="00AE72FF"/>
    <w:rsid w:val="00AF09F5"/>
    <w:rsid w:val="00B04F85"/>
    <w:rsid w:val="00B07756"/>
    <w:rsid w:val="00B560F4"/>
    <w:rsid w:val="00B72A2B"/>
    <w:rsid w:val="00B75A0E"/>
    <w:rsid w:val="00B77C56"/>
    <w:rsid w:val="00B80862"/>
    <w:rsid w:val="00B8718E"/>
    <w:rsid w:val="00B90FBD"/>
    <w:rsid w:val="00B93EDC"/>
    <w:rsid w:val="00B9641B"/>
    <w:rsid w:val="00B9701E"/>
    <w:rsid w:val="00BC1364"/>
    <w:rsid w:val="00BE58A0"/>
    <w:rsid w:val="00C05D31"/>
    <w:rsid w:val="00C220F8"/>
    <w:rsid w:val="00C22528"/>
    <w:rsid w:val="00C452AC"/>
    <w:rsid w:val="00C53087"/>
    <w:rsid w:val="00C5663E"/>
    <w:rsid w:val="00C61AC2"/>
    <w:rsid w:val="00C7695F"/>
    <w:rsid w:val="00CB40AE"/>
    <w:rsid w:val="00CC2505"/>
    <w:rsid w:val="00CF05A8"/>
    <w:rsid w:val="00CF22A9"/>
    <w:rsid w:val="00CF3050"/>
    <w:rsid w:val="00D043BB"/>
    <w:rsid w:val="00D11A0C"/>
    <w:rsid w:val="00D221BB"/>
    <w:rsid w:val="00D414A5"/>
    <w:rsid w:val="00D42A06"/>
    <w:rsid w:val="00D43F45"/>
    <w:rsid w:val="00D45FBF"/>
    <w:rsid w:val="00D64FF6"/>
    <w:rsid w:val="00D709D2"/>
    <w:rsid w:val="00D77B8E"/>
    <w:rsid w:val="00D8274D"/>
    <w:rsid w:val="00D83FC8"/>
    <w:rsid w:val="00D85400"/>
    <w:rsid w:val="00D861D4"/>
    <w:rsid w:val="00DA0D9D"/>
    <w:rsid w:val="00DA1A51"/>
    <w:rsid w:val="00DA46CF"/>
    <w:rsid w:val="00DB2784"/>
    <w:rsid w:val="00DB576A"/>
    <w:rsid w:val="00DC0441"/>
    <w:rsid w:val="00DC0F6D"/>
    <w:rsid w:val="00DE5904"/>
    <w:rsid w:val="00DE7816"/>
    <w:rsid w:val="00DF36F1"/>
    <w:rsid w:val="00E0118B"/>
    <w:rsid w:val="00E07079"/>
    <w:rsid w:val="00E14F52"/>
    <w:rsid w:val="00E16689"/>
    <w:rsid w:val="00E226DF"/>
    <w:rsid w:val="00E47222"/>
    <w:rsid w:val="00E55B88"/>
    <w:rsid w:val="00E65B32"/>
    <w:rsid w:val="00E65F05"/>
    <w:rsid w:val="00E75D90"/>
    <w:rsid w:val="00E817C3"/>
    <w:rsid w:val="00E96FDE"/>
    <w:rsid w:val="00E97B36"/>
    <w:rsid w:val="00EA28B9"/>
    <w:rsid w:val="00EB3F27"/>
    <w:rsid w:val="00EB561A"/>
    <w:rsid w:val="00EB7EEA"/>
    <w:rsid w:val="00EE06AF"/>
    <w:rsid w:val="00EE267D"/>
    <w:rsid w:val="00EE474B"/>
    <w:rsid w:val="00EE4B0B"/>
    <w:rsid w:val="00EE4DF0"/>
    <w:rsid w:val="00EF395D"/>
    <w:rsid w:val="00F00D9B"/>
    <w:rsid w:val="00F022EB"/>
    <w:rsid w:val="00F17DF2"/>
    <w:rsid w:val="00F20465"/>
    <w:rsid w:val="00F32BC5"/>
    <w:rsid w:val="00F34730"/>
    <w:rsid w:val="00F43BE6"/>
    <w:rsid w:val="00F513FD"/>
    <w:rsid w:val="00F53F60"/>
    <w:rsid w:val="00F5469A"/>
    <w:rsid w:val="00F56A4E"/>
    <w:rsid w:val="00F73363"/>
    <w:rsid w:val="00F73D9B"/>
    <w:rsid w:val="00F744C0"/>
    <w:rsid w:val="00F76950"/>
    <w:rsid w:val="00F81A89"/>
    <w:rsid w:val="00F9735B"/>
    <w:rsid w:val="00FB4B84"/>
    <w:rsid w:val="00FC0BA8"/>
    <w:rsid w:val="00FC5967"/>
    <w:rsid w:val="00FE4D94"/>
    <w:rsid w:val="00FF5424"/>
    <w:rsid w:val="01172A03"/>
    <w:rsid w:val="017165B7"/>
    <w:rsid w:val="017D4F5C"/>
    <w:rsid w:val="0199445D"/>
    <w:rsid w:val="01A4698D"/>
    <w:rsid w:val="021035BE"/>
    <w:rsid w:val="027974D2"/>
    <w:rsid w:val="02BC3862"/>
    <w:rsid w:val="02DC317E"/>
    <w:rsid w:val="031F252E"/>
    <w:rsid w:val="041B703D"/>
    <w:rsid w:val="043438CC"/>
    <w:rsid w:val="04A15BF0"/>
    <w:rsid w:val="05164C23"/>
    <w:rsid w:val="053E4A03"/>
    <w:rsid w:val="05452235"/>
    <w:rsid w:val="059E1945"/>
    <w:rsid w:val="05C07B0D"/>
    <w:rsid w:val="05E35235"/>
    <w:rsid w:val="06654211"/>
    <w:rsid w:val="07397B77"/>
    <w:rsid w:val="07414C7E"/>
    <w:rsid w:val="078E55F5"/>
    <w:rsid w:val="07CD206E"/>
    <w:rsid w:val="07FE491D"/>
    <w:rsid w:val="089B03BE"/>
    <w:rsid w:val="08AA5B97"/>
    <w:rsid w:val="08B000C5"/>
    <w:rsid w:val="08BF22FE"/>
    <w:rsid w:val="08D47156"/>
    <w:rsid w:val="08D86F1C"/>
    <w:rsid w:val="096133B5"/>
    <w:rsid w:val="09711AC1"/>
    <w:rsid w:val="098F3113"/>
    <w:rsid w:val="099E62D5"/>
    <w:rsid w:val="09C552BB"/>
    <w:rsid w:val="0A3F1717"/>
    <w:rsid w:val="0A5B1BB3"/>
    <w:rsid w:val="0A9C6D0E"/>
    <w:rsid w:val="0B0C55A3"/>
    <w:rsid w:val="0B5F1F5C"/>
    <w:rsid w:val="0B8A26D4"/>
    <w:rsid w:val="0BD065D0"/>
    <w:rsid w:val="0BD94B7A"/>
    <w:rsid w:val="0BF24799"/>
    <w:rsid w:val="0C562DF3"/>
    <w:rsid w:val="0C7B5426"/>
    <w:rsid w:val="0C8F33F2"/>
    <w:rsid w:val="0C992E66"/>
    <w:rsid w:val="0CF32576"/>
    <w:rsid w:val="0CFF0F1B"/>
    <w:rsid w:val="0D887163"/>
    <w:rsid w:val="0E252C04"/>
    <w:rsid w:val="0EAC6E81"/>
    <w:rsid w:val="0F3D5D2B"/>
    <w:rsid w:val="0F4C5F6E"/>
    <w:rsid w:val="0F78188D"/>
    <w:rsid w:val="0FEB7FEE"/>
    <w:rsid w:val="0FEE34C9"/>
    <w:rsid w:val="1017657C"/>
    <w:rsid w:val="110A7E8F"/>
    <w:rsid w:val="112241ED"/>
    <w:rsid w:val="116435A9"/>
    <w:rsid w:val="11666EF4"/>
    <w:rsid w:val="117016A9"/>
    <w:rsid w:val="117D4B05"/>
    <w:rsid w:val="11F9682B"/>
    <w:rsid w:val="12EC1F42"/>
    <w:rsid w:val="12EE3694"/>
    <w:rsid w:val="138228A6"/>
    <w:rsid w:val="13FF4705"/>
    <w:rsid w:val="144F572A"/>
    <w:rsid w:val="1494463F"/>
    <w:rsid w:val="150115A9"/>
    <w:rsid w:val="154148ED"/>
    <w:rsid w:val="16353C00"/>
    <w:rsid w:val="169235FA"/>
    <w:rsid w:val="169501F5"/>
    <w:rsid w:val="16BA7D5A"/>
    <w:rsid w:val="16D62785"/>
    <w:rsid w:val="1735378C"/>
    <w:rsid w:val="173C6138"/>
    <w:rsid w:val="174165D4"/>
    <w:rsid w:val="17873B7F"/>
    <w:rsid w:val="17B444A3"/>
    <w:rsid w:val="17EA44B4"/>
    <w:rsid w:val="182A0E16"/>
    <w:rsid w:val="186A046A"/>
    <w:rsid w:val="18D05E62"/>
    <w:rsid w:val="19003456"/>
    <w:rsid w:val="1901601B"/>
    <w:rsid w:val="192455D8"/>
    <w:rsid w:val="19362169"/>
    <w:rsid w:val="19D57AAF"/>
    <w:rsid w:val="19FE255B"/>
    <w:rsid w:val="1A7F2A5D"/>
    <w:rsid w:val="1AA72BF2"/>
    <w:rsid w:val="1B6F4369"/>
    <w:rsid w:val="1B8D1DE8"/>
    <w:rsid w:val="1BFF49E5"/>
    <w:rsid w:val="1C4F3541"/>
    <w:rsid w:val="1D33076D"/>
    <w:rsid w:val="1D3F35B6"/>
    <w:rsid w:val="1D7414B2"/>
    <w:rsid w:val="1DA24FE9"/>
    <w:rsid w:val="1DB7314C"/>
    <w:rsid w:val="1DE33295"/>
    <w:rsid w:val="1E195BB5"/>
    <w:rsid w:val="1E2B2408"/>
    <w:rsid w:val="1E2F2693"/>
    <w:rsid w:val="1E4F7829"/>
    <w:rsid w:val="1E560BB7"/>
    <w:rsid w:val="1F0138C3"/>
    <w:rsid w:val="203171E6"/>
    <w:rsid w:val="2044337B"/>
    <w:rsid w:val="20566C4C"/>
    <w:rsid w:val="20DE6C42"/>
    <w:rsid w:val="215D04AF"/>
    <w:rsid w:val="21667363"/>
    <w:rsid w:val="21780E44"/>
    <w:rsid w:val="218224A4"/>
    <w:rsid w:val="21AD6D40"/>
    <w:rsid w:val="21BA76AF"/>
    <w:rsid w:val="21CD1190"/>
    <w:rsid w:val="22382D18"/>
    <w:rsid w:val="227C6712"/>
    <w:rsid w:val="22EE7610"/>
    <w:rsid w:val="23201794"/>
    <w:rsid w:val="235D6544"/>
    <w:rsid w:val="236553F8"/>
    <w:rsid w:val="23696C97"/>
    <w:rsid w:val="23CA129B"/>
    <w:rsid w:val="24C11AC6"/>
    <w:rsid w:val="24F829C8"/>
    <w:rsid w:val="253D662D"/>
    <w:rsid w:val="26C07516"/>
    <w:rsid w:val="26E01966"/>
    <w:rsid w:val="26E34FB2"/>
    <w:rsid w:val="26FE1DEC"/>
    <w:rsid w:val="27054F28"/>
    <w:rsid w:val="275C3DCE"/>
    <w:rsid w:val="27F31225"/>
    <w:rsid w:val="27FF492C"/>
    <w:rsid w:val="2809401E"/>
    <w:rsid w:val="28321D4D"/>
    <w:rsid w:val="285D2B42"/>
    <w:rsid w:val="289447B6"/>
    <w:rsid w:val="28CC0141"/>
    <w:rsid w:val="290F02E0"/>
    <w:rsid w:val="29BD7D3C"/>
    <w:rsid w:val="29FB2867"/>
    <w:rsid w:val="2A0219C7"/>
    <w:rsid w:val="2A900FAD"/>
    <w:rsid w:val="2AC1560A"/>
    <w:rsid w:val="2ACD7E07"/>
    <w:rsid w:val="2B2142FB"/>
    <w:rsid w:val="2B762899"/>
    <w:rsid w:val="2B996587"/>
    <w:rsid w:val="2BDE36A4"/>
    <w:rsid w:val="2BE27F2E"/>
    <w:rsid w:val="2C262943"/>
    <w:rsid w:val="2C357D7B"/>
    <w:rsid w:val="2CE90E48"/>
    <w:rsid w:val="2D1E0AF2"/>
    <w:rsid w:val="2D715D23"/>
    <w:rsid w:val="2D8D3ECA"/>
    <w:rsid w:val="2DBA028A"/>
    <w:rsid w:val="2DFD5887"/>
    <w:rsid w:val="2F210D6D"/>
    <w:rsid w:val="2F266384"/>
    <w:rsid w:val="2F4D7300"/>
    <w:rsid w:val="2F5922B5"/>
    <w:rsid w:val="2FB15C4D"/>
    <w:rsid w:val="2FE87560"/>
    <w:rsid w:val="2FF30969"/>
    <w:rsid w:val="30393E95"/>
    <w:rsid w:val="3109614E"/>
    <w:rsid w:val="31104BF6"/>
    <w:rsid w:val="319E109F"/>
    <w:rsid w:val="32951856"/>
    <w:rsid w:val="329F4483"/>
    <w:rsid w:val="32B75C71"/>
    <w:rsid w:val="32CE5205"/>
    <w:rsid w:val="32F72511"/>
    <w:rsid w:val="338A697A"/>
    <w:rsid w:val="33AB3863"/>
    <w:rsid w:val="33CA5530"/>
    <w:rsid w:val="33EE0B92"/>
    <w:rsid w:val="34144805"/>
    <w:rsid w:val="341B5D8B"/>
    <w:rsid w:val="34790D04"/>
    <w:rsid w:val="347B2AC3"/>
    <w:rsid w:val="3510112C"/>
    <w:rsid w:val="354D466A"/>
    <w:rsid w:val="35675000"/>
    <w:rsid w:val="35923260"/>
    <w:rsid w:val="35B539AE"/>
    <w:rsid w:val="35BB5A78"/>
    <w:rsid w:val="35E81EE3"/>
    <w:rsid w:val="36145188"/>
    <w:rsid w:val="36432D79"/>
    <w:rsid w:val="3699568D"/>
    <w:rsid w:val="36D104BF"/>
    <w:rsid w:val="372C7AFE"/>
    <w:rsid w:val="37450207"/>
    <w:rsid w:val="37A662B4"/>
    <w:rsid w:val="37ED3EE3"/>
    <w:rsid w:val="38284F1B"/>
    <w:rsid w:val="38675A43"/>
    <w:rsid w:val="388A1731"/>
    <w:rsid w:val="388E3C94"/>
    <w:rsid w:val="38E76B84"/>
    <w:rsid w:val="38EA0422"/>
    <w:rsid w:val="39201ACC"/>
    <w:rsid w:val="39353C1E"/>
    <w:rsid w:val="39D92970"/>
    <w:rsid w:val="3A1F5EA9"/>
    <w:rsid w:val="3A88696E"/>
    <w:rsid w:val="3A9871A4"/>
    <w:rsid w:val="3AEF3ACE"/>
    <w:rsid w:val="3B6E533A"/>
    <w:rsid w:val="3BC15A00"/>
    <w:rsid w:val="3BD333EF"/>
    <w:rsid w:val="3C201CBC"/>
    <w:rsid w:val="3C4816E7"/>
    <w:rsid w:val="3D0535AB"/>
    <w:rsid w:val="3D2C5C12"/>
    <w:rsid w:val="3D2E4D81"/>
    <w:rsid w:val="3DC96858"/>
    <w:rsid w:val="3DE23DBE"/>
    <w:rsid w:val="3E09134A"/>
    <w:rsid w:val="404E30B4"/>
    <w:rsid w:val="40735665"/>
    <w:rsid w:val="40827192"/>
    <w:rsid w:val="40C02F6D"/>
    <w:rsid w:val="40C15F0C"/>
    <w:rsid w:val="40FE4A6B"/>
    <w:rsid w:val="4105388F"/>
    <w:rsid w:val="41780CC1"/>
    <w:rsid w:val="41C932CA"/>
    <w:rsid w:val="42213106"/>
    <w:rsid w:val="42312C1E"/>
    <w:rsid w:val="42334BE8"/>
    <w:rsid w:val="42772D26"/>
    <w:rsid w:val="429E385E"/>
    <w:rsid w:val="42E1004A"/>
    <w:rsid w:val="443A225E"/>
    <w:rsid w:val="44634166"/>
    <w:rsid w:val="44896D41"/>
    <w:rsid w:val="44AD0C81"/>
    <w:rsid w:val="44FA19ED"/>
    <w:rsid w:val="45A831F7"/>
    <w:rsid w:val="45F36B68"/>
    <w:rsid w:val="46267925"/>
    <w:rsid w:val="462705C0"/>
    <w:rsid w:val="46484442"/>
    <w:rsid w:val="464B7CCF"/>
    <w:rsid w:val="46546831"/>
    <w:rsid w:val="46AC6D17"/>
    <w:rsid w:val="46BA63DB"/>
    <w:rsid w:val="46BB6940"/>
    <w:rsid w:val="46D70238"/>
    <w:rsid w:val="47121270"/>
    <w:rsid w:val="478A66F5"/>
    <w:rsid w:val="4792238C"/>
    <w:rsid w:val="47C00CCC"/>
    <w:rsid w:val="47C80214"/>
    <w:rsid w:val="47CF7161"/>
    <w:rsid w:val="4803505C"/>
    <w:rsid w:val="485B0D8E"/>
    <w:rsid w:val="488241D3"/>
    <w:rsid w:val="48A95C04"/>
    <w:rsid w:val="4990663D"/>
    <w:rsid w:val="49940662"/>
    <w:rsid w:val="49B06B1E"/>
    <w:rsid w:val="49CD1EDF"/>
    <w:rsid w:val="4A1E1CDA"/>
    <w:rsid w:val="4A2512BA"/>
    <w:rsid w:val="4A4E56A0"/>
    <w:rsid w:val="4A5B1180"/>
    <w:rsid w:val="4B175349"/>
    <w:rsid w:val="4B1F2A11"/>
    <w:rsid w:val="4B410375"/>
    <w:rsid w:val="4B9304A5"/>
    <w:rsid w:val="4BDF7EF2"/>
    <w:rsid w:val="4C012BBE"/>
    <w:rsid w:val="4CC15541"/>
    <w:rsid w:val="4CC76658"/>
    <w:rsid w:val="4CFF4044"/>
    <w:rsid w:val="4D1A2C2C"/>
    <w:rsid w:val="4D2131D2"/>
    <w:rsid w:val="4D6F1352"/>
    <w:rsid w:val="4D8122B8"/>
    <w:rsid w:val="4DC66910"/>
    <w:rsid w:val="4DF65813"/>
    <w:rsid w:val="4DFC67D6"/>
    <w:rsid w:val="4E4361B3"/>
    <w:rsid w:val="4EC8490A"/>
    <w:rsid w:val="4F111E0D"/>
    <w:rsid w:val="4F395B0E"/>
    <w:rsid w:val="5095081C"/>
    <w:rsid w:val="51422C97"/>
    <w:rsid w:val="51DB3C59"/>
    <w:rsid w:val="52067C23"/>
    <w:rsid w:val="524B3888"/>
    <w:rsid w:val="524D6939"/>
    <w:rsid w:val="52862B12"/>
    <w:rsid w:val="52BB6C5F"/>
    <w:rsid w:val="52C5188C"/>
    <w:rsid w:val="52F43F1F"/>
    <w:rsid w:val="53434AE0"/>
    <w:rsid w:val="53D33B35"/>
    <w:rsid w:val="53E126F6"/>
    <w:rsid w:val="540463E4"/>
    <w:rsid w:val="544D1B39"/>
    <w:rsid w:val="54554BE5"/>
    <w:rsid w:val="548E5CAE"/>
    <w:rsid w:val="54F2623D"/>
    <w:rsid w:val="55DC20D8"/>
    <w:rsid w:val="569C02C4"/>
    <w:rsid w:val="56AC16F8"/>
    <w:rsid w:val="56DB152A"/>
    <w:rsid w:val="570A1F63"/>
    <w:rsid w:val="5717642E"/>
    <w:rsid w:val="57696DC7"/>
    <w:rsid w:val="57B40121"/>
    <w:rsid w:val="584722A5"/>
    <w:rsid w:val="58811ADE"/>
    <w:rsid w:val="59351EF4"/>
    <w:rsid w:val="59DE1485"/>
    <w:rsid w:val="5A4562A7"/>
    <w:rsid w:val="5AD703AE"/>
    <w:rsid w:val="5B081AB1"/>
    <w:rsid w:val="5B303AB7"/>
    <w:rsid w:val="5B4812AC"/>
    <w:rsid w:val="5BCF3BE5"/>
    <w:rsid w:val="5BD5525B"/>
    <w:rsid w:val="5C4E32EC"/>
    <w:rsid w:val="5C89392A"/>
    <w:rsid w:val="5C9973C3"/>
    <w:rsid w:val="5CB52971"/>
    <w:rsid w:val="5CDA23D8"/>
    <w:rsid w:val="5CE62B2B"/>
    <w:rsid w:val="5D4810F0"/>
    <w:rsid w:val="5D6713E5"/>
    <w:rsid w:val="5D8A795A"/>
    <w:rsid w:val="5D8E5ABC"/>
    <w:rsid w:val="5E2002BE"/>
    <w:rsid w:val="5E476F68"/>
    <w:rsid w:val="5E551861"/>
    <w:rsid w:val="5E5E3CB0"/>
    <w:rsid w:val="5EA97306"/>
    <w:rsid w:val="5EAF79B6"/>
    <w:rsid w:val="5EDF7832"/>
    <w:rsid w:val="5F2669E1"/>
    <w:rsid w:val="5F2913F5"/>
    <w:rsid w:val="5F4B136B"/>
    <w:rsid w:val="5FA32F55"/>
    <w:rsid w:val="5FAA42E4"/>
    <w:rsid w:val="60145C01"/>
    <w:rsid w:val="60BA0556"/>
    <w:rsid w:val="61227EAA"/>
    <w:rsid w:val="612956DC"/>
    <w:rsid w:val="61DE4150"/>
    <w:rsid w:val="62326812"/>
    <w:rsid w:val="62766443"/>
    <w:rsid w:val="628B5934"/>
    <w:rsid w:val="62FA491D"/>
    <w:rsid w:val="635F7193"/>
    <w:rsid w:val="63613B5C"/>
    <w:rsid w:val="641E0DFC"/>
    <w:rsid w:val="64A4216C"/>
    <w:rsid w:val="64C73242"/>
    <w:rsid w:val="659F72AD"/>
    <w:rsid w:val="65AC068A"/>
    <w:rsid w:val="66374E39"/>
    <w:rsid w:val="663871FA"/>
    <w:rsid w:val="66693C69"/>
    <w:rsid w:val="6677286E"/>
    <w:rsid w:val="66A62D89"/>
    <w:rsid w:val="67456B82"/>
    <w:rsid w:val="67654F94"/>
    <w:rsid w:val="677D0530"/>
    <w:rsid w:val="67A96C2F"/>
    <w:rsid w:val="67DD3251"/>
    <w:rsid w:val="6851185A"/>
    <w:rsid w:val="685C0145"/>
    <w:rsid w:val="685E210F"/>
    <w:rsid w:val="68A32639"/>
    <w:rsid w:val="68B477F1"/>
    <w:rsid w:val="69562A8F"/>
    <w:rsid w:val="698301E7"/>
    <w:rsid w:val="6A4D3DAE"/>
    <w:rsid w:val="6B625A72"/>
    <w:rsid w:val="6B6D4417"/>
    <w:rsid w:val="6B9C76A3"/>
    <w:rsid w:val="6BAB23C3"/>
    <w:rsid w:val="6BFD1C3F"/>
    <w:rsid w:val="6C1A634D"/>
    <w:rsid w:val="6C315445"/>
    <w:rsid w:val="6C881A03"/>
    <w:rsid w:val="6CEE161C"/>
    <w:rsid w:val="6D1C6E8F"/>
    <w:rsid w:val="6D2E13D6"/>
    <w:rsid w:val="6D6D4BA2"/>
    <w:rsid w:val="6D6F091A"/>
    <w:rsid w:val="6D8C5028"/>
    <w:rsid w:val="6D8D2B4F"/>
    <w:rsid w:val="6D965EA7"/>
    <w:rsid w:val="6DAE63BF"/>
    <w:rsid w:val="6DCD73EF"/>
    <w:rsid w:val="6DF971B7"/>
    <w:rsid w:val="6E4D1155"/>
    <w:rsid w:val="6E7855AD"/>
    <w:rsid w:val="6F1E6154"/>
    <w:rsid w:val="6F7264A0"/>
    <w:rsid w:val="6F7F292A"/>
    <w:rsid w:val="6F8166E3"/>
    <w:rsid w:val="6FDD29C2"/>
    <w:rsid w:val="6FDF17DB"/>
    <w:rsid w:val="6FF0007B"/>
    <w:rsid w:val="700370F8"/>
    <w:rsid w:val="70A42689"/>
    <w:rsid w:val="70BF4690"/>
    <w:rsid w:val="71844269"/>
    <w:rsid w:val="719E2F66"/>
    <w:rsid w:val="71AC3EEB"/>
    <w:rsid w:val="71B8006A"/>
    <w:rsid w:val="71CB623E"/>
    <w:rsid w:val="72286181"/>
    <w:rsid w:val="722E3D64"/>
    <w:rsid w:val="72D9277C"/>
    <w:rsid w:val="736D3206"/>
    <w:rsid w:val="737E5413"/>
    <w:rsid w:val="739D6139"/>
    <w:rsid w:val="73A126C3"/>
    <w:rsid w:val="73BE7F06"/>
    <w:rsid w:val="742C1313"/>
    <w:rsid w:val="7431442E"/>
    <w:rsid w:val="74A3398F"/>
    <w:rsid w:val="74E219D2"/>
    <w:rsid w:val="75295853"/>
    <w:rsid w:val="761738FD"/>
    <w:rsid w:val="76A827A7"/>
    <w:rsid w:val="76C21ABB"/>
    <w:rsid w:val="76F123A0"/>
    <w:rsid w:val="770E2F52"/>
    <w:rsid w:val="77A2369A"/>
    <w:rsid w:val="77CD691B"/>
    <w:rsid w:val="785E3A65"/>
    <w:rsid w:val="796706F8"/>
    <w:rsid w:val="79C44CCA"/>
    <w:rsid w:val="7AA548D8"/>
    <w:rsid w:val="7AF64429"/>
    <w:rsid w:val="7AF72429"/>
    <w:rsid w:val="7B0C533F"/>
    <w:rsid w:val="7B242D18"/>
    <w:rsid w:val="7B2F16E9"/>
    <w:rsid w:val="7B424EF7"/>
    <w:rsid w:val="7B4A02D1"/>
    <w:rsid w:val="7B71585E"/>
    <w:rsid w:val="7BCE4A5E"/>
    <w:rsid w:val="7BDA3403"/>
    <w:rsid w:val="7C084E15"/>
    <w:rsid w:val="7C8119BF"/>
    <w:rsid w:val="7CAF608A"/>
    <w:rsid w:val="7CC70A67"/>
    <w:rsid w:val="7CE7355C"/>
    <w:rsid w:val="7D152CC2"/>
    <w:rsid w:val="7D547019"/>
    <w:rsid w:val="7D681048"/>
    <w:rsid w:val="7DDE2CED"/>
    <w:rsid w:val="7F315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strokecolor="#739cc3">
      <v:fill angle="90" type="gradient">
        <o:fill v:ext="view" type="gradientUnscaled"/>
      </v:fill>
      <v:stroke color="#739cc3" weight="1.25pt"/>
    </o:shapedefaults>
    <o:shapelayout v:ext="edit">
      <o:idmap v:ext="edit" data="1"/>
    </o:shapelayout>
  </w:shapeDefaults>
  <w:decimalSymbol w:val="."/>
  <w:listSeparator w:val=","/>
  <w15:docId w15:val="{2F48655C-7347-4E6D-8159-5CD203321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3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等线 Light" w:eastAsia="等线 Light" w:hAnsi="等线 Light" w:cs="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8296"/>
      </w:tabs>
      <w:spacing w:line="480" w:lineRule="auto"/>
    </w:pPr>
  </w:style>
  <w:style w:type="paragraph" w:styleId="20">
    <w:name w:val="toc 2"/>
    <w:basedOn w:val="a"/>
    <w:next w:val="a"/>
    <w:uiPriority w:val="39"/>
    <w:unhideWhenUsed/>
    <w:qFormat/>
    <w:pPr>
      <w:ind w:leftChars="200" w:left="420"/>
    </w:pPr>
  </w:style>
  <w:style w:type="paragraph" w:styleId="a7">
    <w:name w:val="annotation subject"/>
    <w:basedOn w:val="a3"/>
    <w:next w:val="a3"/>
    <w:link w:val="Char3"/>
    <w:unhideWhenUsed/>
    <w:qFormat/>
    <w:rPr>
      <w:b/>
      <w:bCs/>
    </w:rPr>
  </w:style>
  <w:style w:type="character" w:styleId="a8">
    <w:name w:val="Hyperlink"/>
    <w:uiPriority w:val="99"/>
    <w:unhideWhenUsed/>
    <w:qFormat/>
    <w:rPr>
      <w:color w:val="0563C1"/>
      <w:u w:val="single"/>
    </w:rPr>
  </w:style>
  <w:style w:type="character" w:styleId="a9">
    <w:name w:val="annotation reference"/>
    <w:unhideWhenUsed/>
    <w:qFormat/>
    <w:rPr>
      <w:sz w:val="21"/>
      <w:szCs w:val="21"/>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等线 Light" w:eastAsia="等线 Light" w:hAnsi="等线 Light" w:cs="黑体"/>
      <w:b w:val="0"/>
      <w:bCs w:val="0"/>
      <w:color w:val="2E5394"/>
      <w:kern w:val="0"/>
      <w:sz w:val="32"/>
      <w:szCs w:val="32"/>
    </w:rPr>
  </w:style>
  <w:style w:type="paragraph" w:customStyle="1" w:styleId="11">
    <w:name w:val="列出段落1"/>
    <w:basedOn w:val="a"/>
    <w:uiPriority w:val="34"/>
    <w:qFormat/>
    <w:pPr>
      <w:ind w:firstLineChars="200" w:firstLine="420"/>
    </w:pPr>
  </w:style>
  <w:style w:type="paragraph" w:customStyle="1" w:styleId="12">
    <w:name w:val="修订1"/>
    <w:hidden/>
    <w:uiPriority w:val="99"/>
    <w:semiHidden/>
    <w:qFormat/>
    <w:rPr>
      <w:kern w:val="2"/>
      <w:sz w:val="21"/>
      <w:szCs w:val="24"/>
    </w:rPr>
  </w:style>
  <w:style w:type="character" w:customStyle="1" w:styleId="Char2">
    <w:name w:val="页眉 Char"/>
    <w:link w:val="a6"/>
    <w:uiPriority w:val="99"/>
    <w:qFormat/>
    <w:rPr>
      <w:sz w:val="18"/>
      <w:szCs w:val="18"/>
    </w:rPr>
  </w:style>
  <w:style w:type="character" w:customStyle="1" w:styleId="Char1">
    <w:name w:val="页脚 Char"/>
    <w:link w:val="a5"/>
    <w:uiPriority w:val="99"/>
    <w:qFormat/>
    <w:rPr>
      <w:sz w:val="18"/>
      <w:szCs w:val="18"/>
    </w:rPr>
  </w:style>
  <w:style w:type="character" w:customStyle="1" w:styleId="1Char">
    <w:name w:val="标题 1 Char"/>
    <w:link w:val="1"/>
    <w:uiPriority w:val="9"/>
    <w:qFormat/>
    <w:rPr>
      <w:rFonts w:ascii="Times New Roman" w:eastAsia="宋体" w:hAnsi="Times New Roman" w:cs="Times New Roman"/>
      <w:b/>
      <w:bCs/>
      <w:kern w:val="44"/>
      <w:sz w:val="44"/>
      <w:szCs w:val="44"/>
    </w:rPr>
  </w:style>
  <w:style w:type="character" w:customStyle="1" w:styleId="2Char">
    <w:name w:val="标题 2 Char"/>
    <w:link w:val="2"/>
    <w:uiPriority w:val="9"/>
    <w:qFormat/>
    <w:rPr>
      <w:rFonts w:ascii="等线 Light" w:eastAsia="等线 Light" w:hAnsi="等线 Light" w:cs="黑体"/>
      <w:b/>
      <w:bCs/>
      <w:sz w:val="32"/>
      <w:szCs w:val="32"/>
    </w:rPr>
  </w:style>
  <w:style w:type="character" w:customStyle="1" w:styleId="Char0">
    <w:name w:val="批注框文本 Char"/>
    <w:link w:val="a4"/>
    <w:uiPriority w:val="99"/>
    <w:semiHidden/>
    <w:qFormat/>
    <w:rPr>
      <w:rFonts w:ascii="Times New Roman" w:eastAsia="宋体" w:hAnsi="Times New Roman" w:cs="Times New Roman"/>
      <w:sz w:val="18"/>
      <w:szCs w:val="18"/>
    </w:rPr>
  </w:style>
  <w:style w:type="character" w:customStyle="1" w:styleId="Char">
    <w:name w:val="批注文字 Char"/>
    <w:link w:val="a3"/>
    <w:uiPriority w:val="99"/>
    <w:qFormat/>
    <w:rPr>
      <w:kern w:val="2"/>
      <w:sz w:val="21"/>
      <w:szCs w:val="24"/>
    </w:rPr>
  </w:style>
  <w:style w:type="character" w:customStyle="1" w:styleId="Char3">
    <w:name w:val="批注主题 Char"/>
    <w:link w:val="a7"/>
    <w:semiHidden/>
    <w:qFormat/>
    <w:rPr>
      <w:b/>
      <w:bCs/>
      <w:kern w:val="2"/>
      <w:sz w:val="21"/>
      <w:szCs w:val="24"/>
    </w:rPr>
  </w:style>
  <w:style w:type="character" w:customStyle="1" w:styleId="font11">
    <w:name w:val="font11"/>
    <w:qFormat/>
    <w:rPr>
      <w:rFonts w:ascii="宋体" w:eastAsia="宋体" w:hAnsi="宋体" w:cs="宋体" w:hint="eastAsia"/>
      <w:color w:val="000000"/>
      <w:sz w:val="22"/>
      <w:szCs w:val="22"/>
      <w:u w:val="none"/>
    </w:rPr>
  </w:style>
  <w:style w:type="character" w:customStyle="1" w:styleId="UserStyle5">
    <w:name w:val="UserStyle_5"/>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26</Pages>
  <Words>2120</Words>
  <Characters>12090</Characters>
  <Application>Microsoft Office Word</Application>
  <DocSecurity>0</DocSecurity>
  <Lines>100</Lines>
  <Paragraphs>28</Paragraphs>
  <ScaleCrop>false</ScaleCrop>
  <Company/>
  <LinksUpToDate>false</LinksUpToDate>
  <CharactersWithSpaces>14182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北京市市级预算部门整体</dc:title>
  <dc:creator>j m</dc:creator>
  <cp:lastModifiedBy>高小云</cp:lastModifiedBy>
  <cp:revision>2</cp:revision>
  <dcterms:created xsi:type="dcterms:W3CDTF">2025-08-20T14:40:00Z</dcterms:created>
  <dcterms:modified xsi:type="dcterms:W3CDTF">2025-08-22T06:17:00Z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E5E1F7917E194AF89D012FB9E1E0C811_13</vt:lpwstr>
  </property>
  <property fmtid="{D5CDD505-2E9C-101B-9397-08002B2CF9AE}" pid="4" name="KSOTemplateDocerSaveRecord">
    <vt:lpwstr>eyJoZGlkIjoiMmRmNGIxNTcwMjEzZTBhZmU2NzA2MDkzYzE0MTFmMGIiLCJ1c2VySWQiOiIyMjg5NDAwMTkifQ==</vt:lpwstr>
  </property>
</Properties>
</file>