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60" w:lineRule="exact"/>
        <w:jc w:val="both"/>
        <w:rPr>
          <w:rFonts w:hint="eastAsia" w:ascii="方正小标宋简体" w:hAnsi="方正小标宋简体" w:eastAsia="方正小标宋简体" w:cs="方正小标宋简体"/>
          <w:bCs/>
          <w:sz w:val="44"/>
          <w:szCs w:val="44"/>
          <w:highlight w:val="none"/>
        </w:rPr>
      </w:pPr>
    </w:p>
    <w:p>
      <w:pPr>
        <w:wordWrap/>
        <w:adjustRightInd/>
        <w:snapToGrid/>
        <w:spacing w:line="560" w:lineRule="exact"/>
        <w:ind w:left="0" w:leftChars="0" w:right="0"/>
        <w:jc w:val="center"/>
        <w:textAlignment w:val="auto"/>
        <w:rPr>
          <w:rFonts w:hint="eastAsia" w:ascii="方正小标宋简体" w:hAnsi="方正小标宋简体" w:eastAsia="方正小标宋简体" w:cs="方正小标宋简体"/>
          <w:bCs/>
          <w:sz w:val="44"/>
          <w:szCs w:val="44"/>
          <w:highlight w:val="none"/>
          <w:lang w:eastAsia="zh-CN"/>
        </w:rPr>
      </w:pPr>
      <w:r>
        <w:rPr>
          <w:rFonts w:hint="eastAsia" w:ascii="方正小标宋简体" w:hAnsi="方正小标宋简体" w:eastAsia="方正小标宋简体" w:cs="方正小标宋简体"/>
          <w:bCs/>
          <w:sz w:val="44"/>
          <w:szCs w:val="44"/>
          <w:highlight w:val="none"/>
        </w:rPr>
        <w:t>2022年度中央</w:t>
      </w:r>
      <w:r>
        <w:rPr>
          <w:rFonts w:hint="eastAsia" w:ascii="方正小标宋简体" w:hAnsi="方正小标宋简体" w:eastAsia="方正小标宋简体" w:cs="方正小标宋简体"/>
          <w:bCs/>
          <w:sz w:val="44"/>
          <w:szCs w:val="44"/>
          <w:highlight w:val="none"/>
          <w:lang w:eastAsia="zh-CN"/>
        </w:rPr>
        <w:t>福利</w:t>
      </w:r>
      <w:r>
        <w:rPr>
          <w:rFonts w:hint="eastAsia" w:ascii="方正小标宋简体" w:hAnsi="方正小标宋简体" w:eastAsia="方正小标宋简体" w:cs="方正小标宋简体"/>
          <w:bCs/>
          <w:sz w:val="44"/>
          <w:szCs w:val="44"/>
          <w:highlight w:val="none"/>
        </w:rPr>
        <w:t>彩票公益金</w:t>
      </w:r>
      <w:r>
        <w:rPr>
          <w:rFonts w:hint="eastAsia" w:ascii="方正小标宋简体" w:hAnsi="方正小标宋简体" w:eastAsia="方正小标宋简体" w:cs="方正小标宋简体"/>
          <w:bCs/>
          <w:sz w:val="44"/>
          <w:szCs w:val="44"/>
          <w:highlight w:val="none"/>
          <w:lang w:eastAsia="zh-CN"/>
        </w:rPr>
        <w:t>预算执行</w:t>
      </w:r>
    </w:p>
    <w:p>
      <w:pPr>
        <w:wordWrap/>
        <w:adjustRightInd/>
        <w:snapToGrid/>
        <w:spacing w:line="560" w:lineRule="exact"/>
        <w:ind w:left="0" w:leftChars="0" w:right="0"/>
        <w:jc w:val="center"/>
        <w:textAlignment w:val="auto"/>
        <w:rPr>
          <w:rFonts w:hint="eastAsia" w:ascii="方正小标宋简体" w:hAnsi="方正小标宋简体" w:eastAsia="方正小标宋简体" w:cs="方正小标宋简体"/>
          <w:bCs/>
          <w:sz w:val="44"/>
          <w:szCs w:val="44"/>
          <w:highlight w:val="none"/>
        </w:rPr>
      </w:pPr>
      <w:r>
        <w:rPr>
          <w:rFonts w:hint="eastAsia" w:ascii="方正小标宋简体" w:hAnsi="方正小标宋简体" w:eastAsia="方正小标宋简体" w:cs="方正小标宋简体"/>
          <w:bCs/>
          <w:sz w:val="44"/>
          <w:szCs w:val="44"/>
          <w:highlight w:val="none"/>
          <w:lang w:eastAsia="zh-CN"/>
        </w:rPr>
        <w:t>情况</w:t>
      </w:r>
      <w:r>
        <w:rPr>
          <w:rFonts w:hint="eastAsia" w:ascii="方正小标宋简体" w:hAnsi="方正小标宋简体" w:eastAsia="方正小标宋简体" w:cs="方正小标宋简体"/>
          <w:bCs/>
          <w:sz w:val="44"/>
          <w:szCs w:val="44"/>
          <w:highlight w:val="none"/>
        </w:rPr>
        <w:t>绩效自评报告</w:t>
      </w:r>
    </w:p>
    <w:p>
      <w:pPr>
        <w:wordWrap/>
        <w:adjustRightInd/>
        <w:snapToGrid/>
        <w:spacing w:line="560" w:lineRule="exact"/>
        <w:ind w:left="0" w:leftChars="0" w:right="0" w:firstLine="640" w:firstLineChars="200"/>
        <w:textAlignment w:val="auto"/>
        <w:rPr>
          <w:rFonts w:hint="eastAsia" w:ascii="黑体" w:hAnsi="黑体" w:eastAsia="黑体" w:cs="黑体"/>
          <w:bCs/>
          <w:sz w:val="32"/>
          <w:szCs w:val="32"/>
          <w:highlight w:val="none"/>
        </w:rPr>
      </w:pPr>
    </w:p>
    <w:p>
      <w:pPr>
        <w:widowControl w:val="0"/>
        <w:wordWrap/>
        <w:adjustRightInd/>
        <w:snapToGrid/>
        <w:spacing w:line="560" w:lineRule="exact"/>
        <w:ind w:left="0" w:leftChars="0" w:right="0" w:firstLine="640" w:firstLineChars="200"/>
        <w:jc w:val="both"/>
        <w:textAlignment w:val="auto"/>
        <w:rPr>
          <w:rFonts w:ascii="黑体" w:hAnsi="黑体" w:eastAsia="黑体" w:cs="黑体"/>
          <w:bCs/>
          <w:sz w:val="32"/>
          <w:szCs w:val="32"/>
          <w:highlight w:val="none"/>
        </w:rPr>
      </w:pPr>
      <w:bookmarkStart w:id="0" w:name="_GoBack"/>
      <w:r>
        <w:rPr>
          <w:rFonts w:hint="eastAsia" w:ascii="黑体" w:hAnsi="黑体" w:eastAsia="黑体" w:cs="黑体"/>
          <w:bCs/>
          <w:sz w:val="32"/>
          <w:szCs w:val="32"/>
          <w:highlight w:val="none"/>
        </w:rPr>
        <w:t>一、</w:t>
      </w:r>
      <w:r>
        <w:rPr>
          <w:rFonts w:hint="eastAsia" w:ascii="黑体" w:hAnsi="黑体" w:eastAsia="黑体" w:cs="黑体"/>
          <w:bCs/>
          <w:sz w:val="32"/>
          <w:szCs w:val="32"/>
          <w:highlight w:val="none"/>
          <w:lang w:eastAsia="zh-CN"/>
        </w:rPr>
        <w:t>转移支付基本情况</w:t>
      </w:r>
    </w:p>
    <w:p>
      <w:pPr>
        <w:widowControl w:val="0"/>
        <w:wordWrap/>
        <w:adjustRightInd/>
        <w:snapToGrid/>
        <w:spacing w:line="560" w:lineRule="exact"/>
        <w:ind w:left="0" w:leftChars="0" w:right="0" w:firstLine="643" w:firstLineChars="200"/>
        <w:jc w:val="both"/>
        <w:textAlignment w:val="auto"/>
        <w:outlineLvl w:val="0"/>
        <w:rPr>
          <w:rFonts w:ascii="楷体_GB2312" w:hAnsi="楷体_GB2312" w:eastAsia="楷体_GB2312" w:cs="楷体_GB2312"/>
          <w:b/>
          <w:bCs/>
          <w:sz w:val="32"/>
          <w:szCs w:val="32"/>
          <w:highlight w:val="none"/>
        </w:rPr>
      </w:pPr>
      <w:r>
        <w:rPr>
          <w:rFonts w:hint="eastAsia" w:ascii="楷体_GB2312" w:hAnsi="楷体_GB2312" w:eastAsia="楷体_GB2312" w:cs="楷体_GB2312"/>
          <w:b/>
          <w:bCs/>
          <w:sz w:val="32"/>
          <w:szCs w:val="32"/>
          <w:highlight w:val="none"/>
        </w:rPr>
        <w:t>（一）中央福利彩票公益金</w:t>
      </w:r>
      <w:r>
        <w:rPr>
          <w:rFonts w:hint="eastAsia" w:ascii="楷体_GB2312" w:hAnsi="楷体_GB2312" w:eastAsia="楷体_GB2312" w:cs="楷体_GB2312"/>
          <w:b/>
          <w:bCs/>
          <w:sz w:val="32"/>
          <w:szCs w:val="32"/>
          <w:highlight w:val="none"/>
          <w:lang w:eastAsia="zh-CN"/>
        </w:rPr>
        <w:t>概况</w:t>
      </w:r>
    </w:p>
    <w:p>
      <w:pPr>
        <w:widowControl w:val="0"/>
        <w:wordWrap/>
        <w:adjustRightInd/>
        <w:snapToGrid/>
        <w:spacing w:line="560" w:lineRule="exact"/>
        <w:ind w:left="0" w:leftChars="0" w:right="0" w:firstLine="640" w:firstLineChars="200"/>
        <w:jc w:val="both"/>
        <w:textAlignment w:val="auto"/>
        <w:rPr>
          <w:rFonts w:hint="eastAsia" w:ascii="仿宋_GB2312" w:hAnsi="仿宋_GB2312" w:cs="仿宋_GB2312"/>
          <w:sz w:val="32"/>
          <w:szCs w:val="32"/>
          <w:highlight w:val="none"/>
        </w:rPr>
      </w:pPr>
      <w:r>
        <w:rPr>
          <w:rFonts w:hint="eastAsia" w:ascii="仿宋_GB2312" w:hAnsi="仿宋_GB2312" w:cs="仿宋_GB2312"/>
          <w:sz w:val="32"/>
          <w:szCs w:val="32"/>
          <w:highlight w:val="none"/>
        </w:rPr>
        <w:t>根据《财政部 民政部关于提前下达202</w:t>
      </w:r>
      <w:r>
        <w:rPr>
          <w:rFonts w:ascii="仿宋_GB2312" w:hAnsi="仿宋_GB2312" w:cs="仿宋_GB2312"/>
          <w:sz w:val="32"/>
          <w:szCs w:val="32"/>
          <w:highlight w:val="none"/>
        </w:rPr>
        <w:t>2</w:t>
      </w:r>
      <w:r>
        <w:rPr>
          <w:rFonts w:hint="eastAsia" w:ascii="仿宋_GB2312" w:hAnsi="仿宋_GB2312" w:cs="仿宋_GB2312"/>
          <w:sz w:val="32"/>
          <w:szCs w:val="32"/>
          <w:highlight w:val="none"/>
        </w:rPr>
        <w:t>年中央集中彩票公益金支持社会福利事业专项资金预算的通知》（财社〔20</w:t>
      </w:r>
      <w:r>
        <w:rPr>
          <w:rFonts w:ascii="仿宋_GB2312" w:hAnsi="仿宋_GB2312" w:cs="仿宋_GB2312"/>
          <w:sz w:val="32"/>
          <w:szCs w:val="32"/>
          <w:highlight w:val="none"/>
        </w:rPr>
        <w:t>21</w:t>
      </w:r>
      <w:r>
        <w:rPr>
          <w:rFonts w:hint="eastAsia" w:ascii="仿宋_GB2312" w:hAnsi="仿宋_GB2312" w:cs="仿宋_GB2312"/>
          <w:sz w:val="32"/>
          <w:szCs w:val="32"/>
          <w:highlight w:val="none"/>
        </w:rPr>
        <w:t>〕1</w:t>
      </w:r>
      <w:r>
        <w:rPr>
          <w:rFonts w:ascii="仿宋_GB2312" w:hAnsi="仿宋_GB2312" w:cs="仿宋_GB2312"/>
          <w:sz w:val="32"/>
          <w:szCs w:val="32"/>
          <w:highlight w:val="none"/>
        </w:rPr>
        <w:t>44</w:t>
      </w:r>
      <w:r>
        <w:rPr>
          <w:rFonts w:hint="eastAsia" w:ascii="仿宋_GB2312" w:hAnsi="仿宋_GB2312" w:cs="仿宋_GB2312"/>
          <w:sz w:val="32"/>
          <w:szCs w:val="32"/>
          <w:highlight w:val="none"/>
        </w:rPr>
        <w:t>号）</w:t>
      </w:r>
      <w:r>
        <w:rPr>
          <w:rFonts w:ascii="仿宋_GB2312" w:hAnsi="仿宋_GB2312" w:cs="仿宋_GB2312"/>
          <w:sz w:val="32"/>
          <w:szCs w:val="32"/>
          <w:highlight w:val="none"/>
        </w:rPr>
        <w:t>、</w:t>
      </w:r>
      <w:r>
        <w:rPr>
          <w:rFonts w:hint="eastAsia" w:ascii="仿宋_GB2312" w:hAnsi="仿宋_GB2312" w:cs="仿宋_GB2312"/>
          <w:sz w:val="32"/>
          <w:szCs w:val="32"/>
          <w:highlight w:val="none"/>
        </w:rPr>
        <w:t>《财政部关于下达202</w:t>
      </w:r>
      <w:r>
        <w:rPr>
          <w:rFonts w:ascii="仿宋_GB2312" w:hAnsi="仿宋_GB2312" w:cs="仿宋_GB2312"/>
          <w:sz w:val="32"/>
          <w:szCs w:val="32"/>
          <w:highlight w:val="none"/>
        </w:rPr>
        <w:t>2</w:t>
      </w:r>
      <w:r>
        <w:rPr>
          <w:rFonts w:hint="eastAsia" w:ascii="仿宋_GB2312" w:hAnsi="仿宋_GB2312" w:cs="仿宋_GB2312"/>
          <w:sz w:val="32"/>
          <w:szCs w:val="32"/>
          <w:highlight w:val="none"/>
        </w:rPr>
        <w:t>年中央专项彩票公益金支持地方社会公益事业发展资金预算的通知》（财综〔202</w:t>
      </w:r>
      <w:r>
        <w:rPr>
          <w:rFonts w:ascii="仿宋_GB2312" w:hAnsi="仿宋_GB2312" w:cs="仿宋_GB2312"/>
          <w:sz w:val="32"/>
          <w:szCs w:val="32"/>
          <w:highlight w:val="none"/>
        </w:rPr>
        <w:t>2</w:t>
      </w:r>
      <w:r>
        <w:rPr>
          <w:rFonts w:hint="eastAsia" w:ascii="仿宋_GB2312" w:hAnsi="仿宋_GB2312" w:cs="仿宋_GB2312"/>
          <w:sz w:val="32"/>
          <w:szCs w:val="32"/>
          <w:highlight w:val="none"/>
        </w:rPr>
        <w:t>〕</w:t>
      </w:r>
      <w:r>
        <w:rPr>
          <w:rFonts w:ascii="仿宋_GB2312" w:hAnsi="仿宋_GB2312" w:cs="仿宋_GB2312"/>
          <w:sz w:val="32"/>
          <w:szCs w:val="32"/>
          <w:highlight w:val="none"/>
        </w:rPr>
        <w:t>45</w:t>
      </w:r>
      <w:r>
        <w:rPr>
          <w:rFonts w:hint="eastAsia" w:ascii="仿宋_GB2312" w:hAnsi="仿宋_GB2312" w:cs="仿宋_GB2312"/>
          <w:sz w:val="32"/>
          <w:szCs w:val="32"/>
          <w:highlight w:val="none"/>
        </w:rPr>
        <w:t>号）、</w:t>
      </w:r>
      <w:r>
        <w:rPr>
          <w:rFonts w:ascii="仿宋_GB2312" w:hAnsi="仿宋_GB2312" w:cs="仿宋_GB2312"/>
          <w:sz w:val="32"/>
          <w:szCs w:val="32"/>
          <w:highlight w:val="none"/>
        </w:rPr>
        <w:t>《</w:t>
      </w:r>
      <w:r>
        <w:rPr>
          <w:rFonts w:hint="eastAsia" w:ascii="仿宋_GB2312" w:hAnsi="仿宋_GB2312" w:cs="仿宋_GB2312"/>
          <w:sz w:val="32"/>
          <w:szCs w:val="32"/>
          <w:highlight w:val="none"/>
        </w:rPr>
        <w:t>财政部</w:t>
      </w:r>
      <w:r>
        <w:rPr>
          <w:rFonts w:ascii="仿宋_GB2312" w:hAnsi="仿宋_GB2312" w:cs="仿宋_GB2312"/>
          <w:sz w:val="32"/>
          <w:szCs w:val="32"/>
          <w:highlight w:val="none"/>
        </w:rPr>
        <w:t xml:space="preserve"> </w:t>
      </w:r>
      <w:r>
        <w:rPr>
          <w:rFonts w:hint="eastAsia" w:ascii="仿宋_GB2312" w:hAnsi="仿宋_GB2312" w:cs="仿宋_GB2312"/>
          <w:sz w:val="32"/>
          <w:szCs w:val="32"/>
          <w:highlight w:val="none"/>
        </w:rPr>
        <w:t>民政部关于下达</w:t>
      </w:r>
      <w:r>
        <w:rPr>
          <w:rFonts w:ascii="仿宋_GB2312" w:hAnsi="仿宋_GB2312" w:cs="仿宋_GB2312"/>
          <w:sz w:val="32"/>
          <w:szCs w:val="32"/>
          <w:highlight w:val="none"/>
        </w:rPr>
        <w:t>2022</w:t>
      </w:r>
      <w:r>
        <w:rPr>
          <w:rFonts w:hint="eastAsia" w:ascii="仿宋_GB2312" w:hAnsi="仿宋_GB2312" w:cs="仿宋_GB2312"/>
          <w:sz w:val="32"/>
          <w:szCs w:val="32"/>
          <w:highlight w:val="none"/>
        </w:rPr>
        <w:t>年中央专项彩票公益金支持居家和社区基本养老提升行动项目资金预算的通知</w:t>
      </w:r>
      <w:r>
        <w:rPr>
          <w:rFonts w:ascii="仿宋_GB2312" w:hAnsi="仿宋_GB2312" w:cs="仿宋_GB2312"/>
          <w:sz w:val="32"/>
          <w:szCs w:val="32"/>
          <w:highlight w:val="none"/>
        </w:rPr>
        <w:t>》（</w:t>
      </w:r>
      <w:r>
        <w:rPr>
          <w:rFonts w:hint="eastAsia" w:ascii="仿宋_GB2312" w:hAnsi="仿宋_GB2312" w:cs="仿宋_GB2312"/>
          <w:sz w:val="32"/>
          <w:szCs w:val="32"/>
          <w:highlight w:val="none"/>
        </w:rPr>
        <w:t>财社〔202</w:t>
      </w:r>
      <w:r>
        <w:rPr>
          <w:rFonts w:ascii="仿宋_GB2312" w:hAnsi="仿宋_GB2312" w:cs="仿宋_GB2312"/>
          <w:sz w:val="32"/>
          <w:szCs w:val="32"/>
          <w:highlight w:val="none"/>
        </w:rPr>
        <w:t>2</w:t>
      </w:r>
      <w:r>
        <w:rPr>
          <w:rFonts w:hint="eastAsia" w:ascii="仿宋_GB2312" w:hAnsi="仿宋_GB2312" w:cs="仿宋_GB2312"/>
          <w:sz w:val="32"/>
          <w:szCs w:val="32"/>
          <w:highlight w:val="none"/>
        </w:rPr>
        <w:t>〕</w:t>
      </w:r>
      <w:r>
        <w:rPr>
          <w:rFonts w:ascii="仿宋_GB2312" w:hAnsi="仿宋_GB2312" w:cs="仿宋_GB2312"/>
          <w:sz w:val="32"/>
          <w:szCs w:val="32"/>
          <w:highlight w:val="none"/>
        </w:rPr>
        <w:t>78</w:t>
      </w:r>
      <w:r>
        <w:rPr>
          <w:rFonts w:hint="eastAsia" w:ascii="仿宋_GB2312" w:hAnsi="仿宋_GB2312" w:cs="仿宋_GB2312"/>
          <w:sz w:val="32"/>
          <w:szCs w:val="32"/>
          <w:highlight w:val="none"/>
        </w:rPr>
        <w:t>号</w:t>
      </w:r>
      <w:r>
        <w:rPr>
          <w:rFonts w:ascii="仿宋_GB2312" w:hAnsi="仿宋_GB2312" w:cs="仿宋_GB2312"/>
          <w:sz w:val="32"/>
          <w:szCs w:val="32"/>
          <w:highlight w:val="none"/>
        </w:rPr>
        <w:t>）、</w:t>
      </w:r>
      <w:r>
        <w:rPr>
          <w:rFonts w:hint="eastAsia" w:ascii="仿宋_GB2312" w:hAnsi="仿宋_GB2312" w:cs="仿宋_GB2312"/>
          <w:sz w:val="32"/>
          <w:szCs w:val="32"/>
          <w:highlight w:val="none"/>
        </w:rPr>
        <w:t>《财政部</w:t>
      </w:r>
      <w:r>
        <w:rPr>
          <w:rFonts w:ascii="仿宋_GB2312" w:hAnsi="仿宋_GB2312" w:cs="仿宋_GB2312"/>
          <w:sz w:val="32"/>
          <w:szCs w:val="32"/>
          <w:highlight w:val="none"/>
        </w:rPr>
        <w:t xml:space="preserve"> </w:t>
      </w:r>
      <w:r>
        <w:rPr>
          <w:rFonts w:hint="eastAsia" w:ascii="仿宋_GB2312" w:hAnsi="仿宋_GB2312" w:cs="仿宋_GB2312"/>
          <w:sz w:val="32"/>
          <w:szCs w:val="32"/>
          <w:highlight w:val="none"/>
        </w:rPr>
        <w:t>民政部关于下达202</w:t>
      </w:r>
      <w:r>
        <w:rPr>
          <w:rFonts w:ascii="仿宋_GB2312" w:hAnsi="仿宋_GB2312" w:cs="仿宋_GB2312"/>
          <w:sz w:val="32"/>
          <w:szCs w:val="32"/>
          <w:highlight w:val="none"/>
        </w:rPr>
        <w:t>2</w:t>
      </w:r>
      <w:r>
        <w:rPr>
          <w:rFonts w:hint="eastAsia" w:ascii="仿宋_GB2312" w:hAnsi="仿宋_GB2312" w:cs="仿宋_GB2312"/>
          <w:sz w:val="32"/>
          <w:szCs w:val="32"/>
          <w:highlight w:val="none"/>
        </w:rPr>
        <w:t>年中央集中彩票公益金支持社会福利事业专项资金预算的通知》（财社〔202</w:t>
      </w:r>
      <w:r>
        <w:rPr>
          <w:rFonts w:ascii="仿宋_GB2312" w:hAnsi="仿宋_GB2312" w:cs="仿宋_GB2312"/>
          <w:sz w:val="32"/>
          <w:szCs w:val="32"/>
          <w:highlight w:val="none"/>
        </w:rPr>
        <w:t>2</w:t>
      </w:r>
      <w:r>
        <w:rPr>
          <w:rFonts w:hint="eastAsia" w:ascii="仿宋_GB2312" w:hAnsi="仿宋_GB2312" w:cs="仿宋_GB2312"/>
          <w:sz w:val="32"/>
          <w:szCs w:val="32"/>
          <w:highlight w:val="none"/>
        </w:rPr>
        <w:t>〕</w:t>
      </w:r>
      <w:r>
        <w:rPr>
          <w:rFonts w:ascii="仿宋_GB2312" w:hAnsi="仿宋_GB2312" w:cs="仿宋_GB2312"/>
          <w:sz w:val="32"/>
          <w:szCs w:val="32"/>
          <w:highlight w:val="none"/>
        </w:rPr>
        <w:t>79</w:t>
      </w:r>
      <w:r>
        <w:rPr>
          <w:rFonts w:hint="eastAsia" w:ascii="仿宋_GB2312" w:hAnsi="仿宋_GB2312" w:cs="仿宋_GB2312"/>
          <w:sz w:val="32"/>
          <w:szCs w:val="32"/>
          <w:highlight w:val="none"/>
        </w:rPr>
        <w:t>号），202</w:t>
      </w:r>
      <w:r>
        <w:rPr>
          <w:rFonts w:ascii="仿宋_GB2312" w:hAnsi="仿宋_GB2312" w:cs="仿宋_GB2312"/>
          <w:sz w:val="32"/>
          <w:szCs w:val="32"/>
          <w:highlight w:val="none"/>
        </w:rPr>
        <w:t>2</w:t>
      </w:r>
      <w:r>
        <w:rPr>
          <w:rFonts w:hint="eastAsia" w:ascii="仿宋_GB2312" w:hAnsi="仿宋_GB2312" w:cs="仿宋_GB2312"/>
          <w:sz w:val="32"/>
          <w:szCs w:val="32"/>
          <w:highlight w:val="none"/>
        </w:rPr>
        <w:t>年，</w:t>
      </w:r>
      <w:r>
        <w:rPr>
          <w:rFonts w:hint="eastAsia" w:ascii="仿宋_GB2312" w:hAnsi="仿宋_GB2312" w:cs="仿宋_GB2312"/>
          <w:sz w:val="32"/>
          <w:szCs w:val="32"/>
          <w:highlight w:val="none"/>
          <w:lang w:eastAsia="zh-CN"/>
        </w:rPr>
        <w:t>累计下达</w:t>
      </w:r>
      <w:r>
        <w:rPr>
          <w:rFonts w:hint="eastAsia" w:ascii="仿宋_GB2312" w:hAnsi="仿宋_GB2312" w:cs="仿宋_GB2312"/>
          <w:sz w:val="32"/>
          <w:szCs w:val="32"/>
          <w:highlight w:val="none"/>
        </w:rPr>
        <w:t>中央</w:t>
      </w:r>
      <w:r>
        <w:rPr>
          <w:rFonts w:hint="eastAsia" w:ascii="仿宋_GB2312" w:hAnsi="仿宋_GB2312" w:cs="仿宋_GB2312"/>
          <w:sz w:val="32"/>
          <w:szCs w:val="32"/>
          <w:highlight w:val="none"/>
          <w:lang w:eastAsia="zh-CN"/>
        </w:rPr>
        <w:t>福利彩票公益金</w:t>
      </w:r>
      <w:r>
        <w:rPr>
          <w:rFonts w:hint="eastAsia" w:ascii="仿宋_GB2312" w:hAnsi="仿宋_GB2312" w:cs="仿宋_GB2312"/>
          <w:sz w:val="32"/>
          <w:szCs w:val="32"/>
          <w:highlight w:val="none"/>
        </w:rPr>
        <w:t>共</w:t>
      </w:r>
      <w:r>
        <w:rPr>
          <w:rFonts w:hint="eastAsia" w:ascii="仿宋_GB2312" w:hAnsi="仿宋_GB2312" w:cs="仿宋_GB2312"/>
          <w:sz w:val="32"/>
          <w:szCs w:val="32"/>
          <w:highlight w:val="none"/>
          <w:lang w:eastAsia="zh-CN"/>
        </w:rPr>
        <w:t>计</w:t>
      </w:r>
      <w:r>
        <w:rPr>
          <w:rFonts w:hint="eastAsia" w:ascii="仿宋_GB2312" w:hAnsi="仿宋_GB2312" w:cs="仿宋_GB2312"/>
          <w:sz w:val="32"/>
          <w:szCs w:val="32"/>
          <w:highlight w:val="none"/>
        </w:rPr>
        <w:t>28</w:t>
      </w:r>
      <w:r>
        <w:rPr>
          <w:rFonts w:ascii="仿宋_GB2312" w:hAnsi="仿宋_GB2312" w:cs="仿宋_GB2312"/>
          <w:sz w:val="32"/>
          <w:szCs w:val="32"/>
          <w:highlight w:val="none"/>
        </w:rPr>
        <w:t>00</w:t>
      </w:r>
      <w:r>
        <w:rPr>
          <w:rFonts w:hint="eastAsia" w:ascii="仿宋_GB2312" w:hAnsi="仿宋_GB2312" w:cs="仿宋_GB2312"/>
          <w:sz w:val="32"/>
          <w:szCs w:val="32"/>
          <w:highlight w:val="none"/>
        </w:rPr>
        <w:t>万元，其中老年人福利类项目（含居家和社区基本养老服务提升行动</w:t>
      </w:r>
      <w:r>
        <w:rPr>
          <w:rFonts w:hint="eastAsia" w:ascii="仿宋_GB2312" w:hAnsi="仿宋_GB2312" w:cs="仿宋_GB2312"/>
          <w:sz w:val="32"/>
          <w:szCs w:val="32"/>
          <w:highlight w:val="none"/>
          <w:lang w:eastAsia="zh-CN"/>
        </w:rPr>
        <w:t>等</w:t>
      </w:r>
      <w:r>
        <w:rPr>
          <w:rFonts w:hint="eastAsia" w:ascii="仿宋_GB2312" w:hAnsi="仿宋_GB2312" w:cs="仿宋_GB2312"/>
          <w:sz w:val="32"/>
          <w:szCs w:val="32"/>
          <w:highlight w:val="none"/>
        </w:rPr>
        <w:t>项目）</w:t>
      </w:r>
      <w:r>
        <w:rPr>
          <w:rFonts w:ascii="仿宋_GB2312" w:hAnsi="仿宋_GB2312" w:cs="仿宋_GB2312"/>
          <w:sz w:val="32"/>
          <w:szCs w:val="32"/>
          <w:highlight w:val="none"/>
        </w:rPr>
        <w:t>2456</w:t>
      </w:r>
      <w:r>
        <w:rPr>
          <w:rFonts w:hint="eastAsia" w:ascii="仿宋_GB2312" w:hAnsi="仿宋_GB2312" w:cs="仿宋_GB2312"/>
          <w:sz w:val="32"/>
          <w:szCs w:val="32"/>
          <w:highlight w:val="none"/>
        </w:rPr>
        <w:t>万元，残疾人福利类项目</w:t>
      </w:r>
      <w:r>
        <w:rPr>
          <w:rFonts w:ascii="仿宋_GB2312" w:hAnsi="仿宋_GB2312" w:cs="仿宋_GB2312"/>
          <w:sz w:val="32"/>
          <w:szCs w:val="32"/>
          <w:highlight w:val="none"/>
        </w:rPr>
        <w:t>185</w:t>
      </w:r>
      <w:r>
        <w:rPr>
          <w:rFonts w:hint="eastAsia" w:ascii="仿宋_GB2312" w:hAnsi="仿宋_GB2312" w:cs="仿宋_GB2312"/>
          <w:sz w:val="32"/>
          <w:szCs w:val="32"/>
          <w:highlight w:val="none"/>
        </w:rPr>
        <w:t>万元，儿童福利类项目</w:t>
      </w:r>
      <w:r>
        <w:rPr>
          <w:rFonts w:ascii="仿宋_GB2312" w:hAnsi="仿宋_GB2312" w:cs="仿宋_GB2312"/>
          <w:sz w:val="32"/>
          <w:szCs w:val="32"/>
          <w:highlight w:val="none"/>
        </w:rPr>
        <w:t>159</w:t>
      </w:r>
      <w:r>
        <w:rPr>
          <w:rFonts w:hint="eastAsia" w:ascii="仿宋_GB2312" w:hAnsi="仿宋_GB2312" w:cs="仿宋_GB2312"/>
          <w:sz w:val="32"/>
          <w:szCs w:val="32"/>
          <w:highlight w:val="none"/>
        </w:rPr>
        <w:t>万元。中央福利彩票公益金整体绩效目标随预算一并下达。</w:t>
      </w:r>
    </w:p>
    <w:p>
      <w:pPr>
        <w:widowControl w:val="0"/>
        <w:wordWrap/>
        <w:adjustRightInd/>
        <w:snapToGrid/>
        <w:spacing w:line="560" w:lineRule="exact"/>
        <w:ind w:left="0" w:leftChars="0" w:right="0" w:firstLine="643" w:firstLineChars="200"/>
        <w:jc w:val="both"/>
        <w:textAlignment w:val="auto"/>
        <w:outlineLvl w:val="0"/>
        <w:rPr>
          <w:rFonts w:ascii="楷体_GB2312" w:hAnsi="楷体_GB2312" w:eastAsia="楷体_GB2312" w:cs="楷体_GB2312"/>
          <w:sz w:val="32"/>
          <w:szCs w:val="32"/>
          <w:highlight w:val="none"/>
        </w:rPr>
      </w:pPr>
      <w:r>
        <w:rPr>
          <w:rFonts w:hint="eastAsia" w:ascii="楷体_GB2312" w:hAnsi="楷体_GB2312" w:eastAsia="楷体_GB2312" w:cs="楷体_GB2312"/>
          <w:b/>
          <w:bCs/>
          <w:sz w:val="32"/>
          <w:szCs w:val="32"/>
          <w:highlight w:val="none"/>
        </w:rPr>
        <w:t>（</w:t>
      </w:r>
      <w:r>
        <w:rPr>
          <w:rFonts w:hint="eastAsia" w:ascii="楷体_GB2312" w:hAnsi="楷体_GB2312" w:eastAsia="楷体_GB2312" w:cs="楷体_GB2312"/>
          <w:b/>
          <w:bCs/>
          <w:sz w:val="32"/>
          <w:szCs w:val="32"/>
          <w:highlight w:val="none"/>
          <w:lang w:eastAsia="zh-CN"/>
        </w:rPr>
        <w:t>二</w:t>
      </w:r>
      <w:r>
        <w:rPr>
          <w:rFonts w:hint="eastAsia" w:ascii="楷体_GB2312" w:hAnsi="楷体_GB2312" w:eastAsia="楷体_GB2312" w:cs="楷体_GB2312"/>
          <w:b/>
          <w:bCs/>
          <w:sz w:val="32"/>
          <w:szCs w:val="32"/>
          <w:highlight w:val="none"/>
        </w:rPr>
        <w:t>）资金投入情况分析</w:t>
      </w:r>
    </w:p>
    <w:p>
      <w:pPr>
        <w:widowControl w:val="0"/>
        <w:wordWrap/>
        <w:adjustRightInd/>
        <w:snapToGrid/>
        <w:spacing w:line="560" w:lineRule="exact"/>
        <w:ind w:left="0" w:leftChars="0" w:right="0" w:firstLine="643" w:firstLineChars="200"/>
        <w:jc w:val="both"/>
        <w:textAlignment w:val="auto"/>
        <w:rPr>
          <w:rFonts w:ascii="仿宋_GB2312" w:hAnsi="仿宋_GB2312" w:cs="仿宋_GB2312"/>
          <w:sz w:val="32"/>
          <w:szCs w:val="32"/>
          <w:highlight w:val="none"/>
        </w:rPr>
      </w:pPr>
      <w:r>
        <w:rPr>
          <w:rFonts w:hint="eastAsia" w:ascii="仿宋_GB2312"/>
          <w:b/>
          <w:sz w:val="32"/>
          <w:szCs w:val="32"/>
          <w:highlight w:val="none"/>
        </w:rPr>
        <w:t>1.项目资金到位情况分析。</w:t>
      </w:r>
      <w:r>
        <w:rPr>
          <w:rFonts w:hint="eastAsia" w:ascii="仿宋_GB2312" w:hAnsi="仿宋_GB2312" w:cs="仿宋_GB2312"/>
          <w:sz w:val="32"/>
          <w:szCs w:val="32"/>
          <w:highlight w:val="none"/>
        </w:rPr>
        <w:t>2022年累计下达中央福利彩票公益金2800万元，截至2022年7月，中央资金全部分解下达至市级预算单位及各区财政局，资金到位率100%</w:t>
      </w:r>
      <w:r>
        <w:rPr>
          <w:rFonts w:ascii="仿宋_GB2312" w:hAnsi="仿宋_GB2312" w:cs="仿宋_GB2312"/>
          <w:sz w:val="32"/>
          <w:szCs w:val="32"/>
          <w:highlight w:val="none"/>
        </w:rPr>
        <w:t>。</w:t>
      </w:r>
    </w:p>
    <w:p>
      <w:pPr>
        <w:numPr>
          <w:numId w:val="0"/>
        </w:numPr>
        <w:wordWrap/>
        <w:adjustRightInd/>
        <w:snapToGrid/>
        <w:spacing w:line="560" w:lineRule="exact"/>
        <w:ind w:left="0" w:leftChars="0" w:right="0" w:firstLine="640" w:firstLineChars="200"/>
        <w:jc w:val="both"/>
        <w:textAlignment w:val="auto"/>
        <w:rPr>
          <w:rFonts w:ascii="仿宋_GB2312" w:hAnsi="仿宋_GB2312" w:cs="仿宋_GB2312"/>
          <w:sz w:val="32"/>
          <w:szCs w:val="32"/>
          <w:highlight w:val="none"/>
        </w:rPr>
      </w:pPr>
      <w:r>
        <w:rPr>
          <w:rFonts w:hint="eastAsia" w:ascii="仿宋_GB2312"/>
          <w:b/>
          <w:sz w:val="32"/>
          <w:szCs w:val="32"/>
          <w:highlight w:val="none"/>
        </w:rPr>
        <w:t>2.项目资金执行情况分析。</w:t>
      </w:r>
      <w:r>
        <w:rPr>
          <w:rFonts w:hint="eastAsia" w:ascii="仿宋_GB2312" w:hAnsi="仿宋_GB2312" w:cs="仿宋_GB2312"/>
          <w:sz w:val="32"/>
          <w:szCs w:val="32"/>
          <w:highlight w:val="none"/>
        </w:rPr>
        <w:t>彩票公益金执行期两年</w:t>
      </w:r>
      <w:r>
        <w:rPr>
          <w:rFonts w:ascii="仿宋_GB2312" w:hAnsi="仿宋_GB2312" w:cs="仿宋_GB2312"/>
          <w:sz w:val="32"/>
          <w:szCs w:val="32"/>
          <w:highlight w:val="none"/>
        </w:rPr>
        <w:t>，</w:t>
      </w:r>
      <w:r>
        <w:rPr>
          <w:rFonts w:hint="eastAsia" w:ascii="仿宋_GB2312" w:hAnsi="仿宋_GB2312" w:cs="仿宋_GB2312"/>
          <w:sz w:val="32"/>
          <w:szCs w:val="32"/>
          <w:highlight w:val="none"/>
        </w:rPr>
        <w:t>受疫情等因素影响，截至20</w:t>
      </w:r>
      <w:r>
        <w:rPr>
          <w:rFonts w:ascii="仿宋_GB2312" w:hAnsi="仿宋_GB2312" w:cs="仿宋_GB2312"/>
          <w:sz w:val="32"/>
          <w:szCs w:val="32"/>
          <w:highlight w:val="none"/>
        </w:rPr>
        <w:t>22</w:t>
      </w:r>
      <w:r>
        <w:rPr>
          <w:rFonts w:hint="eastAsia" w:ascii="仿宋_GB2312" w:hAnsi="仿宋_GB2312" w:cs="仿宋_GB2312"/>
          <w:sz w:val="32"/>
          <w:szCs w:val="32"/>
          <w:highlight w:val="none"/>
        </w:rPr>
        <w:t>年</w:t>
      </w:r>
      <w:r>
        <w:rPr>
          <w:rFonts w:ascii="仿宋_GB2312" w:hAnsi="仿宋_GB2312" w:cs="仿宋_GB2312"/>
          <w:sz w:val="32"/>
          <w:szCs w:val="32"/>
          <w:highlight w:val="none"/>
        </w:rPr>
        <w:t>12</w:t>
      </w:r>
      <w:r>
        <w:rPr>
          <w:rFonts w:hint="eastAsia" w:ascii="仿宋_GB2312" w:hAnsi="仿宋_GB2312" w:cs="仿宋_GB2312"/>
          <w:sz w:val="32"/>
          <w:szCs w:val="32"/>
          <w:highlight w:val="none"/>
        </w:rPr>
        <w:t>月底，中央资金累计支出4</w:t>
      </w:r>
      <w:r>
        <w:rPr>
          <w:rFonts w:ascii="仿宋_GB2312" w:hAnsi="仿宋_GB2312" w:cs="仿宋_GB2312"/>
          <w:sz w:val="32"/>
          <w:szCs w:val="32"/>
          <w:highlight w:val="none"/>
        </w:rPr>
        <w:t>24</w:t>
      </w:r>
      <w:r>
        <w:rPr>
          <w:rFonts w:hint="eastAsia" w:ascii="仿宋_GB2312" w:hAnsi="仿宋_GB2312" w:cs="仿宋_GB2312"/>
          <w:sz w:val="32"/>
          <w:szCs w:val="32"/>
          <w:highlight w:val="none"/>
        </w:rPr>
        <w:t>.</w:t>
      </w:r>
      <w:r>
        <w:rPr>
          <w:rFonts w:ascii="仿宋_GB2312" w:hAnsi="仿宋_GB2312" w:cs="仿宋_GB2312"/>
          <w:sz w:val="32"/>
          <w:szCs w:val="32"/>
          <w:highlight w:val="none"/>
        </w:rPr>
        <w:t>42</w:t>
      </w:r>
      <w:r>
        <w:rPr>
          <w:rFonts w:hint="eastAsia" w:ascii="仿宋_GB2312" w:hAnsi="仿宋_GB2312" w:cs="仿宋_GB2312"/>
          <w:sz w:val="32"/>
          <w:szCs w:val="32"/>
          <w:highlight w:val="none"/>
        </w:rPr>
        <w:t>万元</w:t>
      </w:r>
      <w:r>
        <w:rPr>
          <w:rFonts w:ascii="仿宋_GB2312" w:hAnsi="仿宋_GB2312" w:cs="仿宋_GB2312"/>
          <w:sz w:val="32"/>
          <w:szCs w:val="32"/>
          <w:highlight w:val="none"/>
        </w:rPr>
        <w:t>；2022年地方财政投入</w:t>
      </w:r>
      <w:r>
        <w:rPr>
          <w:rFonts w:hint="eastAsia" w:ascii="仿宋_GB2312" w:hAnsi="仿宋_GB2312" w:cs="仿宋_GB2312"/>
          <w:sz w:val="32"/>
          <w:szCs w:val="32"/>
          <w:highlight w:val="none"/>
        </w:rPr>
        <w:t>中央彩票公益金</w:t>
      </w:r>
      <w:r>
        <w:rPr>
          <w:rFonts w:ascii="仿宋_GB2312" w:hAnsi="仿宋_GB2312" w:cs="仿宋_GB2312"/>
          <w:sz w:val="32"/>
          <w:szCs w:val="32"/>
          <w:highlight w:val="none"/>
        </w:rPr>
        <w:t>2万元，累计支出2万元；2022</w:t>
      </w:r>
      <w:r>
        <w:rPr>
          <w:rFonts w:hint="eastAsia" w:ascii="仿宋_GB2312" w:hAnsi="仿宋_GB2312" w:cs="仿宋_GB2312"/>
          <w:sz w:val="32"/>
          <w:szCs w:val="32"/>
          <w:highlight w:val="none"/>
        </w:rPr>
        <w:t>年使用中央福利彩票公益金以前年度结转资金</w:t>
      </w:r>
      <w:r>
        <w:rPr>
          <w:rFonts w:hint="default" w:ascii="仿宋_GB2312" w:hAnsi="仿宋_GB2312" w:cs="仿宋_GB2312"/>
          <w:sz w:val="32"/>
          <w:szCs w:val="32"/>
          <w:highlight w:val="none"/>
        </w:rPr>
        <w:t>4</w:t>
      </w:r>
      <w:r>
        <w:rPr>
          <w:rFonts w:ascii="仿宋_GB2312" w:hAnsi="仿宋_GB2312" w:cs="仿宋_GB2312"/>
          <w:sz w:val="32"/>
          <w:szCs w:val="32"/>
          <w:highlight w:val="none"/>
        </w:rPr>
        <w:t>1</w:t>
      </w:r>
      <w:r>
        <w:rPr>
          <w:rFonts w:hint="default" w:ascii="仿宋_GB2312" w:hAnsi="仿宋_GB2312" w:cs="仿宋_GB2312"/>
          <w:sz w:val="32"/>
          <w:szCs w:val="32"/>
          <w:highlight w:val="none"/>
        </w:rPr>
        <w:t>5</w:t>
      </w:r>
      <w:r>
        <w:rPr>
          <w:rFonts w:ascii="仿宋_GB2312" w:hAnsi="仿宋_GB2312" w:cs="仿宋_GB2312"/>
          <w:sz w:val="32"/>
          <w:szCs w:val="32"/>
          <w:highlight w:val="none"/>
        </w:rPr>
        <w:t>.</w:t>
      </w:r>
      <w:r>
        <w:rPr>
          <w:rFonts w:hint="default" w:ascii="仿宋_GB2312" w:hAnsi="仿宋_GB2312" w:cs="仿宋_GB2312"/>
          <w:sz w:val="32"/>
          <w:szCs w:val="32"/>
          <w:highlight w:val="none"/>
        </w:rPr>
        <w:t>88</w:t>
      </w:r>
      <w:r>
        <w:rPr>
          <w:rFonts w:hint="eastAsia" w:ascii="仿宋_GB2312" w:hAnsi="仿宋_GB2312" w:cs="仿宋_GB2312"/>
          <w:sz w:val="32"/>
          <w:szCs w:val="32"/>
          <w:highlight w:val="none"/>
        </w:rPr>
        <w:t>万元，累计支出4</w:t>
      </w:r>
      <w:r>
        <w:rPr>
          <w:rFonts w:ascii="仿宋_GB2312" w:hAnsi="仿宋_GB2312" w:cs="仿宋_GB2312"/>
          <w:sz w:val="32"/>
          <w:szCs w:val="32"/>
          <w:highlight w:val="none"/>
        </w:rPr>
        <w:t>1</w:t>
      </w:r>
      <w:r>
        <w:rPr>
          <w:rFonts w:hint="default" w:ascii="仿宋_GB2312" w:hAnsi="仿宋_GB2312" w:cs="仿宋_GB2312"/>
          <w:sz w:val="32"/>
          <w:szCs w:val="32"/>
          <w:highlight w:val="none"/>
        </w:rPr>
        <w:t>5</w:t>
      </w:r>
      <w:r>
        <w:rPr>
          <w:rFonts w:ascii="仿宋_GB2312" w:hAnsi="仿宋_GB2312" w:cs="仿宋_GB2312"/>
          <w:sz w:val="32"/>
          <w:szCs w:val="32"/>
          <w:highlight w:val="none"/>
        </w:rPr>
        <w:t>.8</w:t>
      </w:r>
      <w:r>
        <w:rPr>
          <w:rFonts w:hint="default" w:ascii="仿宋_GB2312" w:hAnsi="仿宋_GB2312" w:cs="仿宋_GB2312"/>
          <w:sz w:val="32"/>
          <w:szCs w:val="32"/>
          <w:highlight w:val="none"/>
        </w:rPr>
        <w:t>8</w:t>
      </w:r>
      <w:r>
        <w:rPr>
          <w:rFonts w:hint="eastAsia" w:ascii="仿宋_GB2312" w:hAnsi="仿宋_GB2312" w:cs="仿宋_GB2312"/>
          <w:sz w:val="32"/>
          <w:szCs w:val="32"/>
          <w:highlight w:val="none"/>
        </w:rPr>
        <w:t>万元</w:t>
      </w:r>
      <w:r>
        <w:rPr>
          <w:rFonts w:ascii="仿宋_GB2312" w:hAnsi="仿宋_GB2312" w:cs="仿宋_GB2312"/>
          <w:sz w:val="32"/>
          <w:szCs w:val="32"/>
          <w:highlight w:val="none"/>
        </w:rPr>
        <w:t>。</w:t>
      </w:r>
    </w:p>
    <w:p>
      <w:pPr>
        <w:numPr>
          <w:numId w:val="0"/>
        </w:numPr>
        <w:wordWrap/>
        <w:adjustRightInd/>
        <w:snapToGrid/>
        <w:spacing w:line="560" w:lineRule="exact"/>
        <w:ind w:left="0" w:leftChars="0" w:right="0" w:firstLine="640" w:firstLineChars="200"/>
        <w:jc w:val="both"/>
        <w:textAlignment w:val="auto"/>
        <w:rPr>
          <w:rFonts w:ascii="楷体_GB2312" w:hAnsi="楷体_GB2312" w:eastAsia="楷体_GB2312" w:cs="楷体_GB2312"/>
          <w:b/>
          <w:sz w:val="32"/>
          <w:szCs w:val="32"/>
          <w:highlight w:val="none"/>
        </w:rPr>
      </w:pPr>
      <w:r>
        <w:rPr>
          <w:rFonts w:hint="eastAsia" w:ascii="楷体_GB2312" w:hAnsi="楷体_GB2312" w:eastAsia="楷体_GB2312" w:cs="楷体_GB2312"/>
          <w:b/>
          <w:sz w:val="32"/>
          <w:szCs w:val="32"/>
          <w:highlight w:val="none"/>
          <w:lang w:eastAsia="zh-CN"/>
        </w:rPr>
        <w:t>（三）</w:t>
      </w:r>
      <w:r>
        <w:rPr>
          <w:rFonts w:hint="eastAsia" w:ascii="楷体_GB2312" w:hAnsi="楷体_GB2312" w:eastAsia="楷体_GB2312" w:cs="楷体_GB2312"/>
          <w:b/>
          <w:sz w:val="32"/>
          <w:szCs w:val="32"/>
          <w:highlight w:val="none"/>
        </w:rPr>
        <w:t>资金管理情况分析</w:t>
      </w:r>
    </w:p>
    <w:p>
      <w:pPr>
        <w:wordWrap/>
        <w:adjustRightInd/>
        <w:snapToGrid/>
        <w:spacing w:line="560" w:lineRule="exact"/>
        <w:ind w:left="0" w:leftChars="0" w:right="0" w:firstLine="643" w:firstLineChars="200"/>
        <w:jc w:val="both"/>
        <w:textAlignment w:val="auto"/>
        <w:rPr>
          <w:b/>
          <w:bCs/>
          <w:sz w:val="32"/>
          <w:szCs w:val="32"/>
          <w:highlight w:val="none"/>
        </w:rPr>
      </w:pPr>
      <w:r>
        <w:rPr>
          <w:rFonts w:ascii="仿宋_GB2312"/>
          <w:b/>
          <w:bCs/>
          <w:sz w:val="32"/>
          <w:szCs w:val="32"/>
          <w:highlight w:val="none"/>
        </w:rPr>
        <w:t>1.</w:t>
      </w:r>
      <w:r>
        <w:rPr>
          <w:rFonts w:hint="eastAsia" w:ascii="仿宋_GB2312"/>
          <w:b/>
          <w:bCs/>
          <w:sz w:val="32"/>
          <w:szCs w:val="32"/>
          <w:highlight w:val="none"/>
        </w:rPr>
        <w:t>资金分配科学性。</w:t>
      </w:r>
      <w:r>
        <w:rPr>
          <w:rFonts w:hint="eastAsia" w:ascii="仿宋_GB2312"/>
          <w:sz w:val="32"/>
          <w:szCs w:val="32"/>
          <w:highlight w:val="none"/>
        </w:rPr>
        <w:t>严格</w:t>
      </w:r>
      <w:r>
        <w:rPr>
          <w:rFonts w:hint="eastAsia"/>
          <w:sz w:val="32"/>
          <w:szCs w:val="32"/>
          <w:highlight w:val="none"/>
        </w:rPr>
        <w:t>按照福利彩票“扶老、助残、救孤、济困”的使用宗旨</w:t>
      </w:r>
      <w:r>
        <w:rPr>
          <w:rFonts w:hint="eastAsia"/>
          <w:sz w:val="32"/>
          <w:szCs w:val="32"/>
          <w:highlight w:val="none"/>
          <w:lang w:eastAsia="zh-CN"/>
        </w:rPr>
        <w:t>以及相关政策</w:t>
      </w:r>
      <w:r>
        <w:rPr>
          <w:rFonts w:hint="eastAsia" w:ascii="仿宋_GB2312"/>
          <w:sz w:val="32"/>
          <w:szCs w:val="32"/>
          <w:highlight w:val="none"/>
        </w:rPr>
        <w:t>规定的范围和标准分配资金</w:t>
      </w:r>
      <w:r>
        <w:rPr>
          <w:rFonts w:ascii="仿宋_GB2312"/>
          <w:sz w:val="32"/>
          <w:szCs w:val="32"/>
          <w:highlight w:val="none"/>
        </w:rPr>
        <w:t>。</w:t>
      </w:r>
      <w:r>
        <w:rPr>
          <w:rFonts w:hint="eastAsia"/>
          <w:b/>
          <w:bCs/>
          <w:sz w:val="32"/>
          <w:szCs w:val="32"/>
          <w:highlight w:val="none"/>
        </w:rPr>
        <w:t>老年人福利方面</w:t>
      </w:r>
      <w:r>
        <w:rPr>
          <w:sz w:val="32"/>
          <w:szCs w:val="32"/>
          <w:highlight w:val="none"/>
        </w:rPr>
        <w:t>，</w:t>
      </w:r>
      <w:r>
        <w:rPr>
          <w:rFonts w:hint="eastAsia"/>
          <w:sz w:val="32"/>
          <w:szCs w:val="32"/>
          <w:highlight w:val="none"/>
        </w:rPr>
        <w:t>依据《北京市养老服务机构分类推进设施改造达标工程实施方案》（京民养老发〔2020〕48号）等文件要求，按照集中力量打好歼灭战，适当向基层农村、生态涵养区倾斜的原则，并考虑项目的成熟度，尽快形成支出且有政策支撑等因素</w:t>
      </w:r>
      <w:r>
        <w:rPr>
          <w:sz w:val="32"/>
          <w:szCs w:val="32"/>
          <w:highlight w:val="none"/>
        </w:rPr>
        <w:t>，</w:t>
      </w:r>
      <w:r>
        <w:rPr>
          <w:rFonts w:hint="eastAsia"/>
          <w:sz w:val="32"/>
          <w:szCs w:val="32"/>
          <w:highlight w:val="none"/>
        </w:rPr>
        <w:t>分配</w:t>
      </w:r>
      <w:r>
        <w:rPr>
          <w:rFonts w:hint="eastAsia"/>
          <w:sz w:val="32"/>
          <w:szCs w:val="32"/>
          <w:highlight w:val="none"/>
          <w:lang w:eastAsia="zh-CN"/>
        </w:rPr>
        <w:t>资金支持养老机构消防改造</w:t>
      </w:r>
      <w:r>
        <w:rPr>
          <w:sz w:val="32"/>
          <w:szCs w:val="32"/>
          <w:highlight w:val="none"/>
        </w:rPr>
        <w:t>；</w:t>
      </w:r>
      <w:r>
        <w:rPr>
          <w:rFonts w:hint="eastAsia"/>
          <w:b/>
          <w:bCs/>
          <w:sz w:val="32"/>
          <w:szCs w:val="32"/>
          <w:highlight w:val="none"/>
        </w:rPr>
        <w:t>残疾人福利方面</w:t>
      </w:r>
      <w:r>
        <w:rPr>
          <w:b/>
          <w:bCs/>
          <w:sz w:val="32"/>
          <w:szCs w:val="32"/>
          <w:highlight w:val="none"/>
        </w:rPr>
        <w:t>，</w:t>
      </w:r>
      <w:r>
        <w:rPr>
          <w:rFonts w:ascii="仿宋_GB2312" w:hAnsi="仿宋_GB2312" w:eastAsia="仿宋_GB2312" w:cs="仿宋_GB2312"/>
          <w:b w:val="0"/>
          <w:i w:val="0"/>
          <w:caps w:val="0"/>
          <w:color w:val="000000"/>
          <w:spacing w:val="0"/>
          <w:sz w:val="32"/>
          <w:szCs w:val="32"/>
        </w:rPr>
        <w:t>根据《北京市“十四五”时期民政事业发展规划》和《精神卫生社会福利机构基本规范》的通知要求，综合考虑试点工作成效、民政兜底精残人数康复需求、区财政负担能力等因素，分配资金用于残疾人服务机构改造和设施设备配置</w:t>
      </w:r>
      <w:r>
        <w:rPr>
          <w:sz w:val="32"/>
          <w:szCs w:val="32"/>
          <w:highlight w:val="none"/>
        </w:rPr>
        <w:t>；</w:t>
      </w:r>
      <w:r>
        <w:rPr>
          <w:rFonts w:hint="eastAsia"/>
          <w:b/>
          <w:bCs/>
          <w:sz w:val="32"/>
          <w:szCs w:val="32"/>
          <w:highlight w:val="none"/>
        </w:rPr>
        <w:t>儿童福利方面</w:t>
      </w:r>
      <w:r>
        <w:rPr>
          <w:b/>
          <w:bCs/>
          <w:sz w:val="32"/>
          <w:szCs w:val="32"/>
          <w:highlight w:val="none"/>
        </w:rPr>
        <w:t>，</w:t>
      </w:r>
      <w:r>
        <w:rPr>
          <w:rFonts w:hint="eastAsia"/>
          <w:sz w:val="32"/>
          <w:szCs w:val="32"/>
          <w:highlight w:val="none"/>
        </w:rPr>
        <w:t>根据《北京市民政局关于做好“福彩圆梦</w:t>
      </w:r>
      <w:r>
        <w:rPr>
          <w:rFonts w:hint="cs"/>
          <w:sz w:val="32"/>
          <w:szCs w:val="32"/>
          <w:highlight w:val="none"/>
          <w:cs/>
        </w:rPr>
        <w:t>•</w:t>
      </w:r>
      <w:r>
        <w:rPr>
          <w:rFonts w:hint="eastAsia"/>
          <w:sz w:val="32"/>
          <w:szCs w:val="32"/>
          <w:highlight w:val="none"/>
        </w:rPr>
        <w:t>孤儿助学工程”实施工作的通知》（京民儿福发〔</w:t>
      </w:r>
      <w:r>
        <w:rPr>
          <w:sz w:val="32"/>
          <w:szCs w:val="32"/>
          <w:highlight w:val="none"/>
        </w:rPr>
        <w:t>2019</w:t>
      </w:r>
      <w:r>
        <w:rPr>
          <w:rFonts w:hint="eastAsia"/>
          <w:sz w:val="32"/>
          <w:szCs w:val="32"/>
          <w:highlight w:val="none"/>
        </w:rPr>
        <w:t>〕</w:t>
      </w:r>
      <w:r>
        <w:rPr>
          <w:sz w:val="32"/>
          <w:szCs w:val="32"/>
          <w:highlight w:val="none"/>
        </w:rPr>
        <w:t>187</w:t>
      </w:r>
      <w:r>
        <w:rPr>
          <w:rFonts w:hint="eastAsia"/>
          <w:sz w:val="32"/>
          <w:szCs w:val="32"/>
          <w:highlight w:val="none"/>
        </w:rPr>
        <w:t>号）</w:t>
      </w:r>
      <w:r>
        <w:rPr>
          <w:sz w:val="32"/>
          <w:szCs w:val="32"/>
          <w:highlight w:val="none"/>
        </w:rPr>
        <w:t>、</w:t>
      </w:r>
      <w:r>
        <w:rPr>
          <w:rFonts w:hint="eastAsia"/>
          <w:sz w:val="32"/>
          <w:szCs w:val="32"/>
          <w:highlight w:val="none"/>
        </w:rPr>
        <w:t>《关于进一步推进儿童福利机构优化提质和创新转型高质量发展的意见》（民发〔2021〕44号）要求，</w:t>
      </w:r>
      <w:r>
        <w:rPr>
          <w:rFonts w:hint="eastAsia"/>
          <w:sz w:val="32"/>
          <w:szCs w:val="32"/>
          <w:highlight w:val="none"/>
          <w:lang w:eastAsia="zh-CN"/>
        </w:rPr>
        <w:t>对符合条件的孤儿给予补贴，并</w:t>
      </w:r>
      <w:r>
        <w:rPr>
          <w:rFonts w:hint="eastAsia"/>
          <w:sz w:val="32"/>
          <w:szCs w:val="32"/>
          <w:highlight w:val="none"/>
        </w:rPr>
        <w:t>结合区级儿童福利机构、未成年人救助保护机构建设进度和资金需求，综合考虑项目成熟度等因素</w:t>
      </w:r>
      <w:r>
        <w:rPr>
          <w:sz w:val="32"/>
          <w:szCs w:val="32"/>
          <w:highlight w:val="none"/>
        </w:rPr>
        <w:t>，</w:t>
      </w:r>
      <w:r>
        <w:rPr>
          <w:rFonts w:hint="eastAsia"/>
          <w:sz w:val="32"/>
          <w:szCs w:val="32"/>
          <w:highlight w:val="none"/>
          <w:lang w:eastAsia="zh-CN"/>
        </w:rPr>
        <w:t>支持儿童福利院机构装修改造和设施设备购置</w:t>
      </w:r>
      <w:r>
        <w:rPr>
          <w:sz w:val="32"/>
          <w:szCs w:val="32"/>
          <w:highlight w:val="none"/>
        </w:rPr>
        <w:t>。</w:t>
      </w:r>
    </w:p>
    <w:p>
      <w:pPr>
        <w:wordWrap/>
        <w:adjustRightInd/>
        <w:snapToGrid/>
        <w:spacing w:line="560" w:lineRule="exact"/>
        <w:ind w:left="0" w:leftChars="0" w:right="0" w:firstLine="643" w:firstLineChars="200"/>
        <w:jc w:val="both"/>
        <w:textAlignment w:val="auto"/>
        <w:rPr>
          <w:rFonts w:ascii="仿宋_GB2312"/>
          <w:sz w:val="32"/>
          <w:szCs w:val="32"/>
          <w:highlight w:val="none"/>
        </w:rPr>
      </w:pPr>
      <w:r>
        <w:rPr>
          <w:rFonts w:ascii="仿宋_GB2312"/>
          <w:b/>
          <w:bCs/>
          <w:sz w:val="32"/>
          <w:szCs w:val="32"/>
          <w:highlight w:val="none"/>
        </w:rPr>
        <w:t>2.</w:t>
      </w:r>
      <w:r>
        <w:rPr>
          <w:rFonts w:hint="eastAsia" w:ascii="仿宋_GB2312"/>
          <w:b/>
          <w:bCs/>
          <w:sz w:val="32"/>
          <w:szCs w:val="32"/>
          <w:highlight w:val="none"/>
        </w:rPr>
        <w:t>资金下达及时性。</w:t>
      </w:r>
      <w:r>
        <w:rPr>
          <w:rFonts w:hint="eastAsia" w:ascii="仿宋_GB2312"/>
          <w:sz w:val="32"/>
          <w:szCs w:val="32"/>
          <w:highlight w:val="none"/>
        </w:rPr>
        <w:t>严格按照预算法</w:t>
      </w:r>
      <w:r>
        <w:rPr>
          <w:rFonts w:hint="eastAsia" w:ascii="仿宋_GB2312"/>
          <w:sz w:val="32"/>
          <w:szCs w:val="32"/>
          <w:highlight w:val="none"/>
          <w:lang w:eastAsia="zh-CN"/>
        </w:rPr>
        <w:t>有关要求，在接到中央福彩公益金转移支付后，在三十日内正式下达至市级预算单位及各区。</w:t>
      </w:r>
    </w:p>
    <w:p>
      <w:pPr>
        <w:keepNext/>
        <w:keepLines/>
        <w:widowControl/>
        <w:wordWrap/>
        <w:adjustRightInd/>
        <w:snapToGrid/>
        <w:spacing w:line="560" w:lineRule="exact"/>
        <w:ind w:left="0" w:leftChars="0" w:right="0" w:firstLine="643" w:firstLineChars="200"/>
        <w:jc w:val="both"/>
        <w:textAlignment w:val="auto"/>
        <w:rPr>
          <w:rFonts w:ascii="仿宋_GB2312"/>
          <w:sz w:val="32"/>
          <w:szCs w:val="32"/>
          <w:highlight w:val="none"/>
        </w:rPr>
      </w:pPr>
      <w:r>
        <w:rPr>
          <w:rFonts w:ascii="仿宋_GB2312"/>
          <w:b/>
          <w:bCs/>
          <w:sz w:val="32"/>
          <w:szCs w:val="32"/>
          <w:highlight w:val="none"/>
        </w:rPr>
        <w:t>3.</w:t>
      </w:r>
      <w:r>
        <w:rPr>
          <w:rFonts w:hint="eastAsia" w:ascii="仿宋_GB2312"/>
          <w:b/>
          <w:bCs/>
          <w:sz w:val="32"/>
          <w:szCs w:val="32"/>
          <w:highlight w:val="none"/>
        </w:rPr>
        <w:t>资金拨付合规性。</w:t>
      </w:r>
      <w:r>
        <w:rPr>
          <w:rFonts w:hint="eastAsia" w:ascii="仿宋_GB2312"/>
          <w:sz w:val="32"/>
          <w:szCs w:val="32"/>
          <w:highlight w:val="none"/>
        </w:rPr>
        <w:t>严格按照国库集中支付制度有关规定支付资金，未</w:t>
      </w:r>
      <w:r>
        <w:rPr>
          <w:rFonts w:hint="eastAsia" w:ascii="仿宋_GB2312"/>
          <w:sz w:val="32"/>
          <w:szCs w:val="32"/>
          <w:highlight w:val="none"/>
          <w:lang w:eastAsia="zh-CN"/>
        </w:rPr>
        <w:t>发现</w:t>
      </w:r>
      <w:r>
        <w:rPr>
          <w:rFonts w:hint="eastAsia" w:ascii="仿宋_GB2312"/>
          <w:sz w:val="32"/>
          <w:szCs w:val="32"/>
          <w:highlight w:val="none"/>
        </w:rPr>
        <w:t>将资金从国库转入财政专户或支付到预算单位实有资金账户等问题</w:t>
      </w:r>
      <w:r>
        <w:rPr>
          <w:rFonts w:ascii="仿宋_GB2312"/>
          <w:sz w:val="32"/>
          <w:szCs w:val="32"/>
          <w:highlight w:val="none"/>
        </w:rPr>
        <w:t>。</w:t>
      </w:r>
    </w:p>
    <w:p>
      <w:pPr>
        <w:wordWrap/>
        <w:adjustRightInd/>
        <w:snapToGrid/>
        <w:spacing w:line="560" w:lineRule="exact"/>
        <w:ind w:left="0" w:leftChars="0" w:right="0" w:firstLine="643" w:firstLineChars="200"/>
        <w:jc w:val="both"/>
        <w:textAlignment w:val="auto"/>
        <w:rPr>
          <w:rFonts w:ascii="仿宋_GB2312"/>
          <w:sz w:val="32"/>
          <w:szCs w:val="32"/>
          <w:highlight w:val="none"/>
        </w:rPr>
      </w:pPr>
      <w:r>
        <w:rPr>
          <w:rFonts w:ascii="仿宋_GB2312"/>
          <w:b/>
          <w:bCs/>
          <w:sz w:val="32"/>
          <w:szCs w:val="32"/>
          <w:highlight w:val="none"/>
        </w:rPr>
        <w:t>4.</w:t>
      </w:r>
      <w:r>
        <w:rPr>
          <w:rFonts w:hint="eastAsia" w:ascii="仿宋_GB2312"/>
          <w:b/>
          <w:bCs/>
          <w:sz w:val="32"/>
          <w:szCs w:val="32"/>
          <w:highlight w:val="none"/>
        </w:rPr>
        <w:t>资金使用规范性。</w:t>
      </w:r>
      <w:r>
        <w:rPr>
          <w:rFonts w:hint="eastAsia" w:ascii="仿宋_GB2312"/>
          <w:sz w:val="32"/>
          <w:szCs w:val="32"/>
          <w:highlight w:val="none"/>
        </w:rPr>
        <w:t>严格按照下达预算的科目和项目执行，未</w:t>
      </w:r>
      <w:r>
        <w:rPr>
          <w:rFonts w:hint="eastAsia" w:ascii="仿宋_GB2312"/>
          <w:sz w:val="32"/>
          <w:szCs w:val="32"/>
          <w:highlight w:val="none"/>
          <w:lang w:eastAsia="zh-CN"/>
        </w:rPr>
        <w:t>发现</w:t>
      </w:r>
      <w:r>
        <w:rPr>
          <w:rFonts w:hint="eastAsia" w:ascii="仿宋_GB2312"/>
          <w:sz w:val="32"/>
          <w:szCs w:val="32"/>
          <w:highlight w:val="none"/>
        </w:rPr>
        <w:t>截留、挤占、挪用或擅自调整等问题</w:t>
      </w:r>
      <w:r>
        <w:rPr>
          <w:rFonts w:ascii="仿宋_GB2312"/>
          <w:sz w:val="32"/>
          <w:szCs w:val="32"/>
          <w:highlight w:val="none"/>
        </w:rPr>
        <w:t>。</w:t>
      </w:r>
    </w:p>
    <w:p>
      <w:pPr>
        <w:wordWrap/>
        <w:adjustRightInd/>
        <w:snapToGrid/>
        <w:spacing w:line="560" w:lineRule="exact"/>
        <w:ind w:left="0" w:leftChars="0" w:right="0" w:firstLine="643" w:firstLineChars="200"/>
        <w:jc w:val="both"/>
        <w:textAlignment w:val="auto"/>
        <w:rPr>
          <w:rFonts w:ascii="仿宋_GB2312"/>
          <w:sz w:val="32"/>
          <w:szCs w:val="32"/>
          <w:highlight w:val="none"/>
        </w:rPr>
      </w:pPr>
      <w:r>
        <w:rPr>
          <w:rFonts w:ascii="仿宋_GB2312"/>
          <w:b/>
          <w:bCs/>
          <w:sz w:val="32"/>
          <w:szCs w:val="32"/>
          <w:highlight w:val="none"/>
        </w:rPr>
        <w:t>5.</w:t>
      </w:r>
      <w:r>
        <w:rPr>
          <w:rFonts w:hint="eastAsia" w:ascii="仿宋_GB2312"/>
          <w:b/>
          <w:bCs/>
          <w:sz w:val="32"/>
          <w:szCs w:val="32"/>
          <w:highlight w:val="none"/>
        </w:rPr>
        <w:t>资金执行准确性。</w:t>
      </w:r>
      <w:r>
        <w:rPr>
          <w:rFonts w:hint="eastAsia" w:ascii="仿宋_GB2312"/>
          <w:b w:val="0"/>
          <w:bCs w:val="0"/>
          <w:sz w:val="32"/>
          <w:szCs w:val="32"/>
          <w:highlight w:val="none"/>
          <w:lang w:eastAsia="zh-CN"/>
        </w:rPr>
        <w:t>资金严格</w:t>
      </w:r>
      <w:r>
        <w:rPr>
          <w:rFonts w:hint="eastAsia" w:ascii="仿宋_GB2312"/>
          <w:sz w:val="32"/>
          <w:szCs w:val="32"/>
          <w:highlight w:val="none"/>
        </w:rPr>
        <w:t>按照上级下达和本级预算安排的金额执行，但</w:t>
      </w:r>
      <w:r>
        <w:rPr>
          <w:rFonts w:hint="eastAsia" w:ascii="仿宋_GB2312"/>
          <w:sz w:val="32"/>
          <w:szCs w:val="32"/>
          <w:highlight w:val="none"/>
          <w:lang w:eastAsia="zh-CN"/>
        </w:rPr>
        <w:t>考虑资金为两年执行期，并</w:t>
      </w:r>
      <w:r>
        <w:rPr>
          <w:rFonts w:hint="eastAsia" w:ascii="仿宋_GB2312"/>
          <w:sz w:val="32"/>
          <w:szCs w:val="32"/>
          <w:highlight w:val="none"/>
        </w:rPr>
        <w:t>受疫情等</w:t>
      </w:r>
      <w:r>
        <w:rPr>
          <w:rFonts w:hint="eastAsia" w:ascii="仿宋_GB2312"/>
          <w:sz w:val="32"/>
          <w:szCs w:val="32"/>
          <w:highlight w:val="none"/>
          <w:lang w:eastAsia="zh-CN"/>
        </w:rPr>
        <w:t>客观</w:t>
      </w:r>
      <w:r>
        <w:rPr>
          <w:rFonts w:hint="eastAsia" w:ascii="仿宋_GB2312"/>
          <w:sz w:val="32"/>
          <w:szCs w:val="32"/>
          <w:highlight w:val="none"/>
        </w:rPr>
        <w:t>因素影响</w:t>
      </w:r>
      <w:r>
        <w:rPr>
          <w:rFonts w:ascii="仿宋_GB2312"/>
          <w:sz w:val="32"/>
          <w:szCs w:val="32"/>
          <w:highlight w:val="none"/>
        </w:rPr>
        <w:t>，</w:t>
      </w:r>
      <w:r>
        <w:rPr>
          <w:rFonts w:hint="eastAsia" w:ascii="仿宋_GB2312"/>
          <w:sz w:val="32"/>
          <w:szCs w:val="32"/>
          <w:highlight w:val="none"/>
          <w:lang w:eastAsia="zh-CN"/>
        </w:rPr>
        <w:t>存在项目执行进度缓慢的情况</w:t>
      </w:r>
      <w:r>
        <w:rPr>
          <w:rFonts w:ascii="仿宋_GB2312"/>
          <w:sz w:val="32"/>
          <w:szCs w:val="32"/>
          <w:highlight w:val="none"/>
        </w:rPr>
        <w:t>。</w:t>
      </w:r>
    </w:p>
    <w:p>
      <w:pPr>
        <w:wordWrap/>
        <w:adjustRightInd/>
        <w:snapToGrid/>
        <w:spacing w:line="560" w:lineRule="exact"/>
        <w:ind w:left="0" w:leftChars="0" w:right="0" w:firstLine="643" w:firstLineChars="200"/>
        <w:jc w:val="both"/>
        <w:textAlignment w:val="auto"/>
        <w:rPr>
          <w:rFonts w:hint="eastAsia" w:ascii="仿宋_GB2312"/>
          <w:sz w:val="32"/>
          <w:szCs w:val="32"/>
          <w:highlight w:val="none"/>
        </w:rPr>
      </w:pPr>
      <w:r>
        <w:rPr>
          <w:rFonts w:ascii="仿宋_GB2312"/>
          <w:b/>
          <w:bCs/>
          <w:sz w:val="32"/>
          <w:szCs w:val="32"/>
          <w:highlight w:val="none"/>
        </w:rPr>
        <w:t>6.</w:t>
      </w:r>
      <w:r>
        <w:rPr>
          <w:rFonts w:hint="eastAsia" w:ascii="仿宋_GB2312"/>
          <w:b/>
          <w:bCs/>
          <w:sz w:val="32"/>
          <w:szCs w:val="32"/>
          <w:highlight w:val="none"/>
        </w:rPr>
        <w:t>预算绩效管理情况。</w:t>
      </w:r>
      <w:r>
        <w:rPr>
          <w:rFonts w:hint="eastAsia" w:ascii="仿宋_GB2312"/>
          <w:sz w:val="32"/>
          <w:szCs w:val="32"/>
          <w:highlight w:val="none"/>
          <w:lang w:eastAsia="zh-CN"/>
        </w:rPr>
        <w:t>印发</w:t>
      </w:r>
      <w:r>
        <w:rPr>
          <w:rFonts w:ascii="仿宋_GB2312"/>
          <w:sz w:val="32"/>
          <w:szCs w:val="32"/>
          <w:highlight w:val="none"/>
        </w:rPr>
        <w:t>《北京市福利彩票公益金绩效管理办法》</w:t>
      </w:r>
      <w:r>
        <w:rPr>
          <w:rFonts w:hint="eastAsia" w:ascii="仿宋_GB2312"/>
          <w:sz w:val="32"/>
          <w:szCs w:val="32"/>
          <w:highlight w:val="none"/>
          <w:lang w:eastAsia="zh-CN"/>
        </w:rPr>
        <w:t>；强化绩效目标管理，在下达中央福利彩票公益金预算的同时下达绩效目标；层层压实绩效监督主体责任，按要求由各预算单位主责开展绩效监控，并组织开展全覆盖绩效自评。</w:t>
      </w:r>
      <w:r>
        <w:rPr>
          <w:rFonts w:hint="eastAsia" w:ascii="仿宋_GB2312"/>
          <w:sz w:val="32"/>
          <w:szCs w:val="32"/>
          <w:highlight w:val="none"/>
          <w:lang w:val="en-US" w:eastAsia="zh-CN"/>
        </w:rPr>
        <w:t>2022年，主动扩展绩效监督范围，组织16区对20</w:t>
      </w:r>
      <w:r>
        <w:rPr>
          <w:rFonts w:hint="default" w:ascii="仿宋_GB2312"/>
          <w:sz w:val="32"/>
          <w:szCs w:val="32"/>
          <w:highlight w:val="none"/>
          <w:lang w:eastAsia="zh-CN"/>
        </w:rPr>
        <w:t>2</w:t>
      </w:r>
      <w:r>
        <w:rPr>
          <w:rFonts w:hint="eastAsia" w:ascii="仿宋_GB2312"/>
          <w:sz w:val="32"/>
          <w:szCs w:val="32"/>
          <w:highlight w:val="none"/>
          <w:lang w:val="en-US" w:eastAsia="zh-CN"/>
        </w:rPr>
        <w:t>1年中央和市级福利彩票公益金共计5.5亿元开展全覆盖绩效自评，并</w:t>
      </w:r>
      <w:r>
        <w:rPr>
          <w:rFonts w:hint="eastAsia" w:ascii="仿宋_GB2312"/>
          <w:sz w:val="32"/>
          <w:szCs w:val="32"/>
          <w:highlight w:val="none"/>
        </w:rPr>
        <w:t>开展</w:t>
      </w:r>
      <w:r>
        <w:rPr>
          <w:rFonts w:hint="eastAsia" w:ascii="仿宋_GB2312"/>
          <w:sz w:val="32"/>
          <w:szCs w:val="32"/>
          <w:highlight w:val="none"/>
          <w:lang w:eastAsia="zh-CN"/>
        </w:rPr>
        <w:t>了</w:t>
      </w:r>
      <w:r>
        <w:rPr>
          <w:rFonts w:hint="eastAsia" w:ascii="仿宋_GB2312"/>
          <w:sz w:val="32"/>
          <w:szCs w:val="32"/>
          <w:highlight w:val="none"/>
        </w:rPr>
        <w:t>专项审计，进一步强化福利彩票公益金项目监管。</w:t>
      </w:r>
    </w:p>
    <w:p>
      <w:pPr>
        <w:wordWrap/>
        <w:adjustRightInd/>
        <w:snapToGrid/>
        <w:spacing w:line="560" w:lineRule="exact"/>
        <w:ind w:left="0" w:leftChars="0" w:right="0" w:firstLine="643" w:firstLineChars="200"/>
        <w:jc w:val="both"/>
        <w:textAlignment w:val="auto"/>
        <w:rPr>
          <w:rFonts w:ascii="仿宋_GB2312"/>
          <w:sz w:val="32"/>
          <w:szCs w:val="32"/>
          <w:highlight w:val="none"/>
        </w:rPr>
      </w:pPr>
      <w:r>
        <w:rPr>
          <w:rFonts w:ascii="仿宋_GB2312"/>
          <w:b/>
          <w:bCs/>
          <w:sz w:val="32"/>
          <w:szCs w:val="32"/>
          <w:highlight w:val="none"/>
        </w:rPr>
        <w:t>7.</w:t>
      </w:r>
      <w:r>
        <w:rPr>
          <w:rFonts w:hint="eastAsia" w:ascii="仿宋_GB2312"/>
          <w:b/>
          <w:bCs/>
          <w:sz w:val="32"/>
          <w:szCs w:val="32"/>
          <w:highlight w:val="none"/>
        </w:rPr>
        <w:t>支出责任履行情况。</w:t>
      </w:r>
      <w:r>
        <w:rPr>
          <w:rFonts w:hint="eastAsia" w:ascii="仿宋_GB2312"/>
          <w:sz w:val="32"/>
          <w:szCs w:val="32"/>
          <w:highlight w:val="none"/>
        </w:rPr>
        <w:t>彩票公益金非共同财政事权转移支付</w:t>
      </w:r>
      <w:r>
        <w:rPr>
          <w:rFonts w:ascii="仿宋_GB2312"/>
          <w:sz w:val="32"/>
          <w:szCs w:val="32"/>
          <w:highlight w:val="none"/>
        </w:rPr>
        <w:t>，2022</w:t>
      </w:r>
      <w:r>
        <w:rPr>
          <w:rFonts w:hint="eastAsia" w:ascii="仿宋_GB2312"/>
          <w:sz w:val="32"/>
          <w:szCs w:val="32"/>
          <w:highlight w:val="none"/>
        </w:rPr>
        <w:t>年度我市中央福利彩票公益金配套</w:t>
      </w:r>
      <w:r>
        <w:rPr>
          <w:rFonts w:hint="eastAsia" w:ascii="仿宋_GB2312"/>
          <w:sz w:val="32"/>
          <w:szCs w:val="32"/>
          <w:highlight w:val="none"/>
          <w:lang w:eastAsia="zh-CN"/>
        </w:rPr>
        <w:t>投入</w:t>
      </w:r>
      <w:r>
        <w:rPr>
          <w:rFonts w:hint="eastAsia" w:ascii="仿宋_GB2312"/>
          <w:sz w:val="32"/>
          <w:szCs w:val="32"/>
          <w:highlight w:val="none"/>
        </w:rPr>
        <w:t>地方资金</w:t>
      </w:r>
      <w:r>
        <w:rPr>
          <w:rFonts w:ascii="仿宋_GB2312"/>
          <w:sz w:val="32"/>
          <w:szCs w:val="32"/>
          <w:highlight w:val="none"/>
        </w:rPr>
        <w:t>2</w:t>
      </w:r>
      <w:r>
        <w:rPr>
          <w:rFonts w:hint="eastAsia" w:ascii="仿宋_GB2312"/>
          <w:sz w:val="32"/>
          <w:szCs w:val="32"/>
          <w:highlight w:val="none"/>
        </w:rPr>
        <w:t>万元</w:t>
      </w:r>
      <w:r>
        <w:rPr>
          <w:rFonts w:ascii="仿宋_GB2312"/>
          <w:sz w:val="32"/>
          <w:szCs w:val="32"/>
          <w:highlight w:val="none"/>
        </w:rPr>
        <w:t>，</w:t>
      </w:r>
      <w:r>
        <w:rPr>
          <w:rFonts w:hint="eastAsia" w:ascii="仿宋_GB2312"/>
          <w:sz w:val="32"/>
          <w:szCs w:val="32"/>
          <w:highlight w:val="none"/>
        </w:rPr>
        <w:t>资金支出符合财政事权和支出责任划分有关规定</w:t>
      </w:r>
      <w:r>
        <w:rPr>
          <w:rFonts w:ascii="仿宋_GB2312"/>
          <w:sz w:val="32"/>
          <w:szCs w:val="32"/>
          <w:highlight w:val="none"/>
        </w:rPr>
        <w:t>。</w:t>
      </w:r>
    </w:p>
    <w:p>
      <w:pPr>
        <w:widowControl w:val="0"/>
        <w:wordWrap/>
        <w:adjustRightInd/>
        <w:snapToGrid/>
        <w:spacing w:line="560" w:lineRule="exact"/>
        <w:ind w:left="0" w:leftChars="0" w:right="0" w:firstLine="640" w:firstLineChars="200"/>
        <w:jc w:val="both"/>
        <w:textAlignment w:val="auto"/>
        <w:rPr>
          <w:rFonts w:hint="eastAsia" w:ascii="黑体" w:hAnsi="黑体" w:eastAsia="黑体" w:cs="黑体"/>
          <w:bCs/>
          <w:sz w:val="32"/>
          <w:szCs w:val="32"/>
          <w:highlight w:val="none"/>
          <w:lang w:eastAsia="zh-CN"/>
        </w:rPr>
      </w:pPr>
      <w:r>
        <w:rPr>
          <w:rFonts w:hint="eastAsia" w:ascii="黑体" w:hAnsi="黑体" w:eastAsia="黑体" w:cs="黑体"/>
          <w:bCs/>
          <w:sz w:val="32"/>
          <w:szCs w:val="32"/>
          <w:highlight w:val="none"/>
          <w:lang w:eastAsia="zh-CN"/>
        </w:rPr>
        <w:t>二、绩效目标实现情况</w:t>
      </w:r>
    </w:p>
    <w:p>
      <w:pPr>
        <w:wordWrap/>
        <w:adjustRightInd/>
        <w:snapToGrid/>
        <w:spacing w:line="560" w:lineRule="exact"/>
        <w:ind w:left="0" w:leftChars="0" w:right="0" w:firstLine="643" w:firstLineChars="200"/>
        <w:jc w:val="both"/>
        <w:textAlignment w:val="auto"/>
        <w:rPr>
          <w:rFonts w:ascii="楷体_GB2312" w:hAnsi="楷体_GB2312" w:eastAsia="楷体_GB2312" w:cs="楷体_GB2312"/>
          <w:bCs/>
          <w:sz w:val="32"/>
          <w:szCs w:val="32"/>
          <w:highlight w:val="none"/>
        </w:rPr>
      </w:pPr>
      <w:r>
        <w:rPr>
          <w:rFonts w:hint="eastAsia" w:ascii="楷体_GB2312" w:hAnsi="楷体_GB2312" w:eastAsia="楷体_GB2312" w:cs="楷体_GB2312"/>
          <w:b/>
          <w:sz w:val="32"/>
          <w:szCs w:val="32"/>
          <w:highlight w:val="none"/>
        </w:rPr>
        <w:t>（</w:t>
      </w:r>
      <w:r>
        <w:rPr>
          <w:rFonts w:hint="eastAsia" w:ascii="楷体_GB2312" w:hAnsi="楷体_GB2312" w:eastAsia="楷体_GB2312" w:cs="楷体_GB2312"/>
          <w:b/>
          <w:sz w:val="32"/>
          <w:szCs w:val="32"/>
          <w:highlight w:val="none"/>
          <w:lang w:eastAsia="zh-CN"/>
        </w:rPr>
        <w:t>一</w:t>
      </w:r>
      <w:r>
        <w:rPr>
          <w:rFonts w:hint="eastAsia" w:ascii="楷体_GB2312" w:hAnsi="楷体_GB2312" w:eastAsia="楷体_GB2312" w:cs="楷体_GB2312"/>
          <w:b/>
          <w:sz w:val="32"/>
          <w:szCs w:val="32"/>
          <w:highlight w:val="none"/>
        </w:rPr>
        <w:t>）总体绩效目标完成情况分析</w:t>
      </w:r>
    </w:p>
    <w:p>
      <w:pPr>
        <w:wordWrap/>
        <w:adjustRightInd/>
        <w:snapToGrid/>
        <w:spacing w:line="560" w:lineRule="exact"/>
        <w:ind w:left="0" w:leftChars="0" w:right="0" w:firstLine="640" w:firstLineChars="200"/>
        <w:jc w:val="both"/>
        <w:textAlignment w:val="auto"/>
        <w:rPr>
          <w:rFonts w:ascii="仿宋_GB2312"/>
          <w:sz w:val="32"/>
          <w:szCs w:val="32"/>
          <w:highlight w:val="none"/>
        </w:rPr>
      </w:pPr>
      <w:r>
        <w:rPr>
          <w:rFonts w:ascii="仿宋_GB2312"/>
          <w:sz w:val="32"/>
          <w:szCs w:val="32"/>
          <w:highlight w:val="none"/>
        </w:rPr>
        <w:t>1</w:t>
      </w:r>
      <w:r>
        <w:rPr>
          <w:rFonts w:hint="eastAsia" w:ascii="仿宋_GB2312"/>
          <w:sz w:val="32"/>
          <w:szCs w:val="32"/>
          <w:highlight w:val="none"/>
        </w:rPr>
        <w:t>.支持</w:t>
      </w:r>
      <w:r>
        <w:rPr>
          <w:rFonts w:ascii="仿宋_GB2312"/>
          <w:sz w:val="32"/>
          <w:szCs w:val="32"/>
          <w:highlight w:val="none"/>
        </w:rPr>
        <w:t>12</w:t>
      </w:r>
      <w:r>
        <w:rPr>
          <w:rFonts w:hint="eastAsia" w:ascii="仿宋_GB2312"/>
          <w:sz w:val="32"/>
          <w:szCs w:val="32"/>
          <w:highlight w:val="none"/>
        </w:rPr>
        <w:t>家养老服务机构配置</w:t>
      </w:r>
      <w:r>
        <w:rPr>
          <w:rFonts w:hint="eastAsia" w:ascii="仿宋_GB2312"/>
          <w:sz w:val="32"/>
          <w:szCs w:val="32"/>
          <w:highlight w:val="none"/>
          <w:lang w:val="en-US"/>
        </w:rPr>
        <w:t>消防设施器材等</w:t>
      </w:r>
      <w:r>
        <w:rPr>
          <w:rFonts w:hint="eastAsia" w:ascii="仿宋_GB2312"/>
          <w:sz w:val="32"/>
          <w:szCs w:val="32"/>
          <w:highlight w:val="none"/>
        </w:rPr>
        <w:t>设备，补助支持</w:t>
      </w:r>
      <w:r>
        <w:rPr>
          <w:rFonts w:ascii="仿宋_GB2312"/>
          <w:sz w:val="32"/>
          <w:szCs w:val="32"/>
          <w:highlight w:val="none"/>
        </w:rPr>
        <w:t>350</w:t>
      </w:r>
      <w:r>
        <w:rPr>
          <w:rFonts w:hint="eastAsia" w:ascii="仿宋_GB2312"/>
          <w:sz w:val="32"/>
          <w:szCs w:val="32"/>
          <w:highlight w:val="none"/>
        </w:rPr>
        <w:t>家试点区农村邻里互助养老服务点</w:t>
      </w:r>
      <w:r>
        <w:rPr>
          <w:rFonts w:ascii="仿宋_GB2312"/>
          <w:sz w:val="32"/>
          <w:szCs w:val="32"/>
          <w:highlight w:val="none"/>
        </w:rPr>
        <w:t>，</w:t>
      </w:r>
      <w:r>
        <w:rPr>
          <w:rFonts w:hint="eastAsia" w:ascii="仿宋_GB2312"/>
          <w:sz w:val="32"/>
          <w:szCs w:val="32"/>
          <w:highlight w:val="none"/>
        </w:rPr>
        <w:t>补助支持</w:t>
      </w:r>
      <w:r>
        <w:rPr>
          <w:rFonts w:ascii="仿宋_GB2312"/>
          <w:sz w:val="32"/>
          <w:szCs w:val="32"/>
          <w:highlight w:val="none"/>
        </w:rPr>
        <w:t>1</w:t>
      </w:r>
      <w:r>
        <w:rPr>
          <w:rFonts w:hint="eastAsia" w:ascii="仿宋_GB2312"/>
          <w:sz w:val="32"/>
          <w:szCs w:val="32"/>
          <w:highlight w:val="none"/>
        </w:rPr>
        <w:t>家民办养老服务机构进行消防改造</w:t>
      </w:r>
      <w:r>
        <w:rPr>
          <w:rFonts w:ascii="仿宋_GB2312"/>
          <w:sz w:val="32"/>
          <w:szCs w:val="32"/>
          <w:highlight w:val="none"/>
        </w:rPr>
        <w:t>，</w:t>
      </w:r>
      <w:r>
        <w:rPr>
          <w:rFonts w:hint="eastAsia" w:ascii="仿宋_GB2312"/>
          <w:sz w:val="32"/>
          <w:szCs w:val="32"/>
          <w:highlight w:val="none"/>
        </w:rPr>
        <w:t>改善了基础养老服务薄弱环节，提升了养老服务设施服务能力</w:t>
      </w:r>
      <w:r>
        <w:rPr>
          <w:rFonts w:ascii="仿宋_GB2312"/>
          <w:sz w:val="32"/>
          <w:szCs w:val="32"/>
          <w:highlight w:val="none"/>
        </w:rPr>
        <w:t>。</w:t>
      </w:r>
    </w:p>
    <w:p>
      <w:pPr>
        <w:wordWrap/>
        <w:adjustRightInd/>
        <w:snapToGrid/>
        <w:spacing w:line="560" w:lineRule="exact"/>
        <w:ind w:left="0" w:leftChars="0" w:right="0" w:firstLine="640" w:firstLineChars="200"/>
        <w:jc w:val="both"/>
        <w:textAlignment w:val="auto"/>
        <w:rPr>
          <w:rFonts w:ascii="仿宋_GB2312"/>
          <w:sz w:val="32"/>
          <w:szCs w:val="32"/>
          <w:highlight w:val="none"/>
        </w:rPr>
      </w:pPr>
      <w:r>
        <w:rPr>
          <w:rFonts w:ascii="仿宋_GB2312"/>
          <w:sz w:val="32"/>
          <w:szCs w:val="32"/>
          <w:highlight w:val="none"/>
        </w:rPr>
        <w:t>2</w:t>
      </w:r>
      <w:r>
        <w:rPr>
          <w:rFonts w:hint="eastAsia" w:ascii="仿宋_GB2312"/>
          <w:sz w:val="32"/>
          <w:szCs w:val="32"/>
          <w:highlight w:val="none"/>
        </w:rPr>
        <w:t>.支持精神卫生社会福利机构设施设备配置</w:t>
      </w:r>
      <w:r>
        <w:rPr>
          <w:rFonts w:ascii="仿宋_GB2312"/>
          <w:sz w:val="32"/>
          <w:szCs w:val="32"/>
          <w:highlight w:val="none"/>
        </w:rPr>
        <w:t>1</w:t>
      </w:r>
      <w:r>
        <w:rPr>
          <w:rFonts w:hint="eastAsia" w:ascii="仿宋_GB2312"/>
          <w:sz w:val="32"/>
          <w:szCs w:val="32"/>
          <w:highlight w:val="none"/>
        </w:rPr>
        <w:t>台套，</w:t>
      </w:r>
      <w:r>
        <w:rPr>
          <w:rFonts w:hint="eastAsia" w:ascii="仿宋_GB2312" w:hAnsi="仿宋_GB2312" w:cs="楷体_GB2312"/>
          <w:bCs/>
          <w:sz w:val="32"/>
          <w:szCs w:val="32"/>
          <w:highlight w:val="none"/>
        </w:rPr>
        <w:t>提升了残疾人服务环境质量</w:t>
      </w:r>
      <w:r>
        <w:rPr>
          <w:rFonts w:hint="eastAsia" w:ascii="仿宋_GB2312"/>
          <w:sz w:val="32"/>
          <w:szCs w:val="32"/>
          <w:highlight w:val="none"/>
        </w:rPr>
        <w:t>。</w:t>
      </w:r>
    </w:p>
    <w:p>
      <w:pPr>
        <w:wordWrap/>
        <w:adjustRightInd/>
        <w:snapToGrid/>
        <w:spacing w:line="560" w:lineRule="exact"/>
        <w:ind w:left="0" w:leftChars="0" w:right="0" w:firstLine="640" w:firstLineChars="200"/>
        <w:jc w:val="both"/>
        <w:textAlignment w:val="auto"/>
        <w:rPr>
          <w:rFonts w:ascii="仿宋_GB2312"/>
          <w:sz w:val="32"/>
          <w:szCs w:val="32"/>
          <w:highlight w:val="none"/>
        </w:rPr>
      </w:pPr>
      <w:r>
        <w:rPr>
          <w:rFonts w:ascii="仿宋_GB2312"/>
          <w:sz w:val="32"/>
          <w:szCs w:val="32"/>
          <w:highlight w:val="none"/>
        </w:rPr>
        <w:t>3</w:t>
      </w:r>
      <w:r>
        <w:rPr>
          <w:rFonts w:hint="eastAsia" w:ascii="仿宋_GB2312"/>
          <w:sz w:val="32"/>
          <w:szCs w:val="32"/>
          <w:highlight w:val="none"/>
        </w:rPr>
        <w:t>.支持“福彩圆梦·孤儿助学工程”，我市</w:t>
      </w:r>
      <w:r>
        <w:rPr>
          <w:rFonts w:ascii="仿宋_GB2312"/>
          <w:sz w:val="32"/>
          <w:szCs w:val="32"/>
          <w:highlight w:val="none"/>
        </w:rPr>
        <w:t>2022</w:t>
      </w:r>
      <w:r>
        <w:rPr>
          <w:rFonts w:hint="eastAsia" w:ascii="仿宋_GB2312"/>
          <w:sz w:val="32"/>
          <w:szCs w:val="32"/>
          <w:highlight w:val="none"/>
        </w:rPr>
        <w:t>年为</w:t>
      </w:r>
      <w:r>
        <w:rPr>
          <w:rFonts w:ascii="仿宋_GB2312"/>
          <w:sz w:val="32"/>
          <w:szCs w:val="32"/>
          <w:highlight w:val="none"/>
        </w:rPr>
        <w:t>112</w:t>
      </w:r>
      <w:r>
        <w:rPr>
          <w:rFonts w:hint="eastAsia" w:ascii="仿宋_GB2312"/>
          <w:sz w:val="32"/>
          <w:szCs w:val="32"/>
          <w:highlight w:val="none"/>
        </w:rPr>
        <w:t>名年满18周岁考入普通全日制本科、专科等学校的孤儿提供助学金，资助孤儿完成学业</w:t>
      </w:r>
      <w:r>
        <w:rPr>
          <w:rFonts w:ascii="仿宋_GB2312"/>
          <w:sz w:val="32"/>
          <w:szCs w:val="32"/>
          <w:highlight w:val="none"/>
        </w:rPr>
        <w:t>。</w:t>
      </w:r>
    </w:p>
    <w:p>
      <w:pPr>
        <w:wordWrap/>
        <w:adjustRightInd/>
        <w:snapToGrid/>
        <w:spacing w:line="560" w:lineRule="exact"/>
        <w:ind w:left="0" w:leftChars="0" w:right="0" w:firstLine="640" w:firstLineChars="200"/>
        <w:jc w:val="both"/>
        <w:textAlignment w:val="auto"/>
        <w:rPr>
          <w:rFonts w:ascii="仿宋_GB2312"/>
          <w:sz w:val="32"/>
          <w:szCs w:val="32"/>
          <w:highlight w:val="none"/>
        </w:rPr>
      </w:pPr>
      <w:r>
        <w:rPr>
          <w:rFonts w:ascii="仿宋_GB2312"/>
          <w:sz w:val="32"/>
          <w:szCs w:val="32"/>
          <w:highlight w:val="none"/>
        </w:rPr>
        <w:t>4</w:t>
      </w:r>
      <w:r>
        <w:rPr>
          <w:rFonts w:hint="eastAsia" w:ascii="仿宋_GB2312"/>
          <w:sz w:val="32"/>
          <w:szCs w:val="32"/>
          <w:highlight w:val="none"/>
        </w:rPr>
        <w:t>.受新冠疫情影响</w:t>
      </w:r>
      <w:r>
        <w:rPr>
          <w:rFonts w:ascii="仿宋_GB2312"/>
          <w:sz w:val="32"/>
          <w:szCs w:val="32"/>
          <w:highlight w:val="none"/>
        </w:rPr>
        <w:t>，</w:t>
      </w:r>
      <w:r>
        <w:rPr>
          <w:rFonts w:hint="eastAsia" w:ascii="仿宋_GB2312"/>
          <w:sz w:val="32"/>
          <w:szCs w:val="32"/>
          <w:highlight w:val="none"/>
        </w:rPr>
        <w:t>居家和社区基本养老服务提升行动项目正在</w:t>
      </w:r>
      <w:r>
        <w:rPr>
          <w:rFonts w:hint="eastAsia" w:ascii="仿宋_GB2312"/>
          <w:sz w:val="32"/>
          <w:szCs w:val="32"/>
          <w:highlight w:val="none"/>
          <w:lang w:eastAsia="zh-CN"/>
        </w:rPr>
        <w:t>加快</w:t>
      </w:r>
      <w:r>
        <w:rPr>
          <w:rFonts w:hint="eastAsia" w:ascii="仿宋_GB2312"/>
          <w:sz w:val="32"/>
          <w:szCs w:val="32"/>
          <w:highlight w:val="none"/>
        </w:rPr>
        <w:t>推进中</w:t>
      </w:r>
      <w:r>
        <w:rPr>
          <w:rFonts w:ascii="仿宋_GB2312"/>
          <w:sz w:val="32"/>
          <w:szCs w:val="32"/>
          <w:highlight w:val="none"/>
        </w:rPr>
        <w:t>，</w:t>
      </w:r>
      <w:r>
        <w:rPr>
          <w:rFonts w:hint="eastAsia" w:ascii="仿宋_GB2312"/>
          <w:sz w:val="32"/>
          <w:szCs w:val="32"/>
          <w:highlight w:val="none"/>
        </w:rPr>
        <w:t>截至目前</w:t>
      </w:r>
      <w:r>
        <w:rPr>
          <w:rFonts w:ascii="仿宋_GB2312"/>
          <w:sz w:val="32"/>
          <w:szCs w:val="32"/>
          <w:highlight w:val="none"/>
        </w:rPr>
        <w:t>，</w:t>
      </w:r>
      <w:r>
        <w:rPr>
          <w:rFonts w:hint="eastAsia" w:ascii="仿宋_GB2312"/>
          <w:sz w:val="32"/>
          <w:szCs w:val="32"/>
          <w:highlight w:val="none"/>
        </w:rPr>
        <w:t>该</w:t>
      </w:r>
      <w:r>
        <w:rPr>
          <w:rFonts w:ascii="仿宋_GB2312"/>
          <w:sz w:val="32"/>
          <w:szCs w:val="32"/>
          <w:highlight w:val="none"/>
        </w:rPr>
        <w:t>项目已完成多轮调研和需求征集</w:t>
      </w:r>
      <w:r>
        <w:rPr>
          <w:rFonts w:hint="eastAsia" w:ascii="仿宋_GB2312"/>
          <w:sz w:val="32"/>
          <w:szCs w:val="32"/>
          <w:highlight w:val="none"/>
        </w:rPr>
        <w:t>工作。</w:t>
      </w:r>
    </w:p>
    <w:p>
      <w:pPr>
        <w:wordWrap/>
        <w:adjustRightInd/>
        <w:snapToGrid/>
        <w:spacing w:line="560" w:lineRule="exact"/>
        <w:ind w:left="0" w:leftChars="0" w:right="0" w:firstLine="643" w:firstLineChars="200"/>
        <w:jc w:val="both"/>
        <w:textAlignment w:val="auto"/>
        <w:outlineLvl w:val="0"/>
        <w:rPr>
          <w:rFonts w:ascii="仿宋_GB2312"/>
          <w:color w:val="C00000"/>
          <w:sz w:val="32"/>
          <w:szCs w:val="32"/>
          <w:highlight w:val="none"/>
        </w:rPr>
      </w:pPr>
      <w:r>
        <w:rPr>
          <w:rFonts w:hint="eastAsia" w:ascii="楷体_GB2312" w:hAnsi="楷体_GB2312" w:eastAsia="楷体_GB2312" w:cs="楷体_GB2312"/>
          <w:b/>
          <w:bCs/>
          <w:sz w:val="32"/>
          <w:szCs w:val="32"/>
          <w:highlight w:val="none"/>
        </w:rPr>
        <w:t>（</w:t>
      </w:r>
      <w:r>
        <w:rPr>
          <w:rFonts w:hint="eastAsia" w:ascii="楷体_GB2312" w:hAnsi="楷体_GB2312" w:eastAsia="楷体_GB2312" w:cs="楷体_GB2312"/>
          <w:b/>
          <w:bCs/>
          <w:sz w:val="32"/>
          <w:szCs w:val="32"/>
          <w:highlight w:val="none"/>
          <w:lang w:eastAsia="zh-CN"/>
        </w:rPr>
        <w:t>二</w:t>
      </w:r>
      <w:r>
        <w:rPr>
          <w:rFonts w:hint="eastAsia" w:ascii="楷体_GB2312" w:hAnsi="楷体_GB2312" w:eastAsia="楷体_GB2312" w:cs="楷体_GB2312"/>
          <w:b/>
          <w:bCs/>
          <w:sz w:val="32"/>
          <w:szCs w:val="32"/>
          <w:highlight w:val="none"/>
        </w:rPr>
        <w:t>）绩效指标完成情况分析</w:t>
      </w:r>
    </w:p>
    <w:p>
      <w:pPr>
        <w:wordWrap/>
        <w:adjustRightInd/>
        <w:snapToGrid/>
        <w:spacing w:line="560" w:lineRule="exact"/>
        <w:ind w:left="0" w:leftChars="0" w:right="0" w:firstLine="643" w:firstLineChars="200"/>
        <w:jc w:val="both"/>
        <w:textAlignment w:val="auto"/>
        <w:rPr>
          <w:rFonts w:ascii="仿宋_GB2312"/>
          <w:sz w:val="32"/>
          <w:szCs w:val="32"/>
          <w:highlight w:val="none"/>
        </w:rPr>
      </w:pPr>
      <w:r>
        <w:rPr>
          <w:rFonts w:hint="eastAsia" w:ascii="仿宋_GB2312"/>
          <w:b/>
          <w:bCs/>
          <w:sz w:val="32"/>
          <w:szCs w:val="32"/>
          <w:highlight w:val="none"/>
        </w:rPr>
        <w:t>1.产出指标完成情况分析</w:t>
      </w:r>
    </w:p>
    <w:p>
      <w:pPr>
        <w:wordWrap/>
        <w:adjustRightInd/>
        <w:snapToGrid/>
        <w:spacing w:line="560" w:lineRule="exact"/>
        <w:ind w:left="0" w:leftChars="0" w:right="0" w:firstLine="643" w:firstLineChars="200"/>
        <w:jc w:val="both"/>
        <w:textAlignment w:val="auto"/>
        <w:rPr>
          <w:rFonts w:ascii="仿宋_GB2312"/>
          <w:sz w:val="32"/>
          <w:szCs w:val="32"/>
          <w:highlight w:val="none"/>
        </w:rPr>
      </w:pPr>
      <w:r>
        <w:rPr>
          <w:rFonts w:hint="eastAsia" w:ascii="仿宋_GB2312"/>
          <w:b/>
          <w:bCs/>
          <w:sz w:val="32"/>
          <w:szCs w:val="32"/>
          <w:highlight w:val="none"/>
        </w:rPr>
        <w:t>（1）数量指标。老年人福利方面</w:t>
      </w:r>
      <w:r>
        <w:rPr>
          <w:rFonts w:hint="eastAsia" w:ascii="仿宋_GB2312"/>
          <w:sz w:val="32"/>
          <w:szCs w:val="32"/>
          <w:highlight w:val="none"/>
        </w:rPr>
        <w:t>，完成</w:t>
      </w:r>
      <w:r>
        <w:rPr>
          <w:rFonts w:ascii="仿宋_GB2312"/>
          <w:sz w:val="32"/>
          <w:szCs w:val="32"/>
          <w:highlight w:val="none"/>
        </w:rPr>
        <w:t>1</w:t>
      </w:r>
      <w:r>
        <w:rPr>
          <w:rFonts w:hint="eastAsia" w:ascii="仿宋_GB2312"/>
          <w:sz w:val="32"/>
          <w:szCs w:val="32"/>
          <w:highlight w:val="none"/>
        </w:rPr>
        <w:t>家民办养老机构的消防系统升级改造及</w:t>
      </w:r>
      <w:r>
        <w:rPr>
          <w:rFonts w:ascii="仿宋_GB2312"/>
          <w:sz w:val="32"/>
          <w:szCs w:val="32"/>
          <w:highlight w:val="none"/>
        </w:rPr>
        <w:t>12</w:t>
      </w:r>
      <w:r>
        <w:rPr>
          <w:rFonts w:hint="eastAsia" w:ascii="仿宋_GB2312"/>
          <w:sz w:val="32"/>
          <w:szCs w:val="32"/>
          <w:highlight w:val="none"/>
        </w:rPr>
        <w:t>家养老服务设施设备配置</w:t>
      </w:r>
      <w:r>
        <w:rPr>
          <w:rFonts w:ascii="仿宋_GB2312"/>
          <w:sz w:val="32"/>
          <w:szCs w:val="32"/>
          <w:highlight w:val="none"/>
        </w:rPr>
        <w:t>；</w:t>
      </w:r>
      <w:r>
        <w:rPr>
          <w:rFonts w:hint="eastAsia" w:ascii="仿宋_GB2312"/>
          <w:sz w:val="32"/>
          <w:szCs w:val="32"/>
          <w:highlight w:val="none"/>
        </w:rPr>
        <w:t>350家农村邻里互助养老服务点项目、</w:t>
      </w:r>
      <w:r>
        <w:rPr>
          <w:rFonts w:hint="default" w:ascii="仿宋_GB2312"/>
          <w:sz w:val="32"/>
          <w:szCs w:val="32"/>
          <w:highlight w:val="none"/>
        </w:rPr>
        <w:t>36</w:t>
      </w:r>
      <w:r>
        <w:rPr>
          <w:rFonts w:hint="eastAsia" w:ascii="仿宋_GB2312"/>
          <w:sz w:val="32"/>
          <w:szCs w:val="32"/>
          <w:highlight w:val="none"/>
        </w:rPr>
        <w:t>家民办养老机构的消防系统升级改造</w:t>
      </w:r>
      <w:r>
        <w:rPr>
          <w:rFonts w:hint="eastAsia" w:ascii="仿宋_GB2312"/>
          <w:sz w:val="32"/>
          <w:szCs w:val="32"/>
          <w:highlight w:val="none"/>
          <w:lang w:val="en-US"/>
        </w:rPr>
        <w:t>及</w:t>
      </w:r>
      <w:r>
        <w:rPr>
          <w:rFonts w:hint="eastAsia" w:ascii="仿宋_GB2312"/>
          <w:sz w:val="32"/>
          <w:szCs w:val="32"/>
          <w:highlight w:val="none"/>
        </w:rPr>
        <w:t>西城区居家和社区基本养老服务提升行动项目正在推进中。</w:t>
      </w:r>
      <w:r>
        <w:rPr>
          <w:rFonts w:hint="eastAsia" w:ascii="仿宋_GB2312"/>
          <w:b/>
          <w:bCs/>
          <w:sz w:val="32"/>
          <w:szCs w:val="32"/>
          <w:highlight w:val="none"/>
        </w:rPr>
        <w:t>残疾人福利方面，</w:t>
      </w:r>
      <w:r>
        <w:rPr>
          <w:rFonts w:hint="eastAsia" w:ascii="仿宋_GB2312"/>
          <w:sz w:val="32"/>
          <w:szCs w:val="32"/>
          <w:highlight w:val="none"/>
        </w:rPr>
        <w:t>精神卫生社会福利机构设施设备配置项目按进度推进中，完成设备购置1套。</w:t>
      </w:r>
      <w:r>
        <w:rPr>
          <w:rFonts w:hint="eastAsia" w:ascii="仿宋_GB2312"/>
          <w:b/>
          <w:bCs/>
          <w:sz w:val="32"/>
          <w:szCs w:val="32"/>
          <w:highlight w:val="none"/>
        </w:rPr>
        <w:t>儿童福利方面</w:t>
      </w:r>
      <w:r>
        <w:rPr>
          <w:rFonts w:hint="eastAsia" w:ascii="仿宋_GB2312"/>
          <w:sz w:val="32"/>
          <w:szCs w:val="32"/>
          <w:highlight w:val="none"/>
        </w:rPr>
        <w:t>，为1</w:t>
      </w:r>
      <w:r>
        <w:rPr>
          <w:rFonts w:ascii="仿宋_GB2312"/>
          <w:sz w:val="32"/>
          <w:szCs w:val="32"/>
          <w:highlight w:val="none"/>
        </w:rPr>
        <w:t>12</w:t>
      </w:r>
      <w:r>
        <w:rPr>
          <w:rFonts w:hint="eastAsia" w:ascii="仿宋_GB2312"/>
          <w:sz w:val="32"/>
          <w:szCs w:val="32"/>
          <w:highlight w:val="none"/>
        </w:rPr>
        <w:t>名孤儿发放助学金</w:t>
      </w:r>
      <w:r>
        <w:rPr>
          <w:rFonts w:ascii="仿宋_GB2312"/>
          <w:sz w:val="32"/>
          <w:szCs w:val="32"/>
          <w:highlight w:val="none"/>
        </w:rPr>
        <w:t>；</w:t>
      </w:r>
      <w:r>
        <w:rPr>
          <w:rFonts w:hint="eastAsia" w:ascii="仿宋_GB2312"/>
          <w:sz w:val="32"/>
          <w:szCs w:val="32"/>
          <w:highlight w:val="none"/>
        </w:rPr>
        <w:t>儿童福利服务机构设施设备配置工作正在推进中。</w:t>
      </w:r>
    </w:p>
    <w:p>
      <w:pPr>
        <w:wordWrap/>
        <w:adjustRightInd/>
        <w:snapToGrid/>
        <w:spacing w:line="560" w:lineRule="exact"/>
        <w:ind w:left="0" w:leftChars="0" w:right="0" w:firstLine="643" w:firstLineChars="200"/>
        <w:jc w:val="both"/>
        <w:textAlignment w:val="auto"/>
        <w:rPr>
          <w:rFonts w:ascii="仿宋_GB2312"/>
          <w:sz w:val="32"/>
          <w:szCs w:val="32"/>
          <w:highlight w:val="none"/>
        </w:rPr>
      </w:pPr>
      <w:r>
        <w:rPr>
          <w:rFonts w:hint="eastAsia" w:ascii="仿宋_GB2312"/>
          <w:b/>
          <w:bCs/>
          <w:sz w:val="32"/>
          <w:szCs w:val="32"/>
          <w:highlight w:val="none"/>
        </w:rPr>
        <w:t>（2）质量指标。</w:t>
      </w:r>
      <w:r>
        <w:rPr>
          <w:rFonts w:hint="eastAsia" w:ascii="仿宋_GB2312" w:hAnsi="仿宋_GB2312" w:cs="仿宋_GB2312"/>
          <w:b/>
          <w:bCs/>
          <w:sz w:val="32"/>
          <w:szCs w:val="32"/>
          <w:highlight w:val="none"/>
        </w:rPr>
        <w:t>老年人福利方面</w:t>
      </w:r>
      <w:r>
        <w:rPr>
          <w:rFonts w:ascii="仿宋_GB2312" w:hAnsi="仿宋_GB2312" w:cs="仿宋_GB2312"/>
          <w:b/>
          <w:bCs/>
          <w:sz w:val="32"/>
          <w:szCs w:val="32"/>
          <w:highlight w:val="none"/>
        </w:rPr>
        <w:t>，</w:t>
      </w:r>
      <w:r>
        <w:rPr>
          <w:rFonts w:hint="eastAsia" w:ascii="仿宋_GB2312" w:hAnsi="仿宋_GB2312" w:cs="仿宋_GB2312"/>
          <w:sz w:val="32"/>
          <w:szCs w:val="32"/>
          <w:highlight w:val="none"/>
        </w:rPr>
        <w:t>已完成消防改造验收的养老机构的</w:t>
      </w:r>
      <w:r>
        <w:rPr>
          <w:rFonts w:ascii="仿宋_GB2312" w:hAnsi="仿宋_GB2312" w:cs="仿宋_GB2312"/>
          <w:sz w:val="32"/>
          <w:szCs w:val="32"/>
          <w:highlight w:val="none"/>
        </w:rPr>
        <w:t>验收合格率100%</w:t>
      </w:r>
      <w:r>
        <w:rPr>
          <w:rFonts w:ascii="仿宋_GB2312"/>
          <w:sz w:val="32"/>
          <w:szCs w:val="32"/>
          <w:highlight w:val="none"/>
        </w:rPr>
        <w:t>，</w:t>
      </w:r>
      <w:r>
        <w:rPr>
          <w:rFonts w:hint="eastAsia" w:ascii="仿宋_GB2312"/>
          <w:sz w:val="32"/>
          <w:szCs w:val="32"/>
          <w:highlight w:val="none"/>
        </w:rPr>
        <w:t>部分区正在推进中</w:t>
      </w:r>
      <w:r>
        <w:rPr>
          <w:rFonts w:ascii="仿宋_GB2312"/>
          <w:sz w:val="32"/>
          <w:szCs w:val="32"/>
          <w:highlight w:val="none"/>
        </w:rPr>
        <w:t>，</w:t>
      </w:r>
      <w:r>
        <w:rPr>
          <w:rFonts w:hint="eastAsia" w:ascii="仿宋_GB2312"/>
          <w:sz w:val="32"/>
          <w:szCs w:val="32"/>
          <w:highlight w:val="none"/>
        </w:rPr>
        <w:t>暂未验收</w:t>
      </w:r>
      <w:r>
        <w:rPr>
          <w:rFonts w:ascii="仿宋_GB2312"/>
          <w:sz w:val="32"/>
          <w:szCs w:val="32"/>
          <w:highlight w:val="none"/>
        </w:rPr>
        <w:t>；福利彩票公益金资助的设施设备</w:t>
      </w:r>
      <w:r>
        <w:rPr>
          <w:rFonts w:hint="eastAsia" w:ascii="仿宋_GB2312"/>
          <w:sz w:val="32"/>
          <w:szCs w:val="32"/>
          <w:highlight w:val="none"/>
        </w:rPr>
        <w:t>已</w:t>
      </w:r>
      <w:r>
        <w:rPr>
          <w:rFonts w:ascii="仿宋_GB2312"/>
          <w:sz w:val="32"/>
          <w:szCs w:val="32"/>
          <w:highlight w:val="none"/>
        </w:rPr>
        <w:t>标注“彩票公益金资助-中国福利彩票”的永久性标识</w:t>
      </w:r>
      <w:r>
        <w:rPr>
          <w:rFonts w:ascii="仿宋_GB2312" w:hAnsi="仿宋_GB2312" w:cs="仿宋_GB2312"/>
          <w:sz w:val="32"/>
          <w:szCs w:val="32"/>
          <w:highlight w:val="none"/>
        </w:rPr>
        <w:t>。</w:t>
      </w:r>
      <w:r>
        <w:rPr>
          <w:rFonts w:hint="eastAsia" w:ascii="仿宋_GB2312" w:hAnsi="仿宋_GB2312" w:cs="仿宋_GB2312"/>
          <w:b/>
          <w:bCs/>
          <w:sz w:val="32"/>
          <w:szCs w:val="32"/>
          <w:highlight w:val="none"/>
        </w:rPr>
        <w:t>残疾人福利方面</w:t>
      </w:r>
      <w:r>
        <w:rPr>
          <w:rFonts w:ascii="仿宋_GB2312" w:hAnsi="仿宋_GB2312" w:cs="仿宋_GB2312"/>
          <w:b/>
          <w:bCs/>
          <w:sz w:val="32"/>
          <w:szCs w:val="32"/>
          <w:highlight w:val="none"/>
        </w:rPr>
        <w:t>，</w:t>
      </w:r>
      <w:r>
        <w:rPr>
          <w:rFonts w:hint="eastAsia" w:ascii="仿宋_GB2312" w:hAnsi="仿宋_GB2312" w:cs="仿宋_GB2312"/>
          <w:sz w:val="32"/>
          <w:szCs w:val="32"/>
          <w:highlight w:val="none"/>
        </w:rPr>
        <w:t>由于部分区项目正在推进</w:t>
      </w:r>
      <w:r>
        <w:rPr>
          <w:rFonts w:ascii="仿宋_GB2312" w:hAnsi="仿宋_GB2312" w:cs="仿宋_GB2312"/>
          <w:sz w:val="32"/>
          <w:szCs w:val="32"/>
          <w:highlight w:val="none"/>
        </w:rPr>
        <w:t>，</w:t>
      </w:r>
      <w:r>
        <w:rPr>
          <w:rFonts w:hint="eastAsia" w:ascii="仿宋_GB2312" w:hAnsi="仿宋_GB2312" w:cs="仿宋_GB2312"/>
          <w:sz w:val="32"/>
          <w:szCs w:val="32"/>
          <w:highlight w:val="none"/>
        </w:rPr>
        <w:t>暂未取得</w:t>
      </w:r>
      <w:r>
        <w:rPr>
          <w:rFonts w:ascii="仿宋_GB2312" w:hAnsi="仿宋_GB2312" w:cs="仿宋_GB2312"/>
          <w:sz w:val="32"/>
          <w:szCs w:val="32"/>
          <w:highlight w:val="none"/>
        </w:rPr>
        <w:t>精神卫生福利机构设施设备配置验收合格率</w:t>
      </w:r>
      <w:r>
        <w:rPr>
          <w:rFonts w:hint="eastAsia" w:ascii="仿宋_GB2312" w:hAnsi="仿宋_GB2312" w:cs="仿宋_GB2312"/>
          <w:sz w:val="32"/>
          <w:szCs w:val="32"/>
          <w:highlight w:val="none"/>
        </w:rPr>
        <w:t>相关数据</w:t>
      </w:r>
      <w:r>
        <w:rPr>
          <w:rFonts w:ascii="仿宋_GB2312" w:hAnsi="仿宋_GB2312" w:cs="仿宋_GB2312"/>
          <w:sz w:val="32"/>
          <w:szCs w:val="32"/>
          <w:highlight w:val="none"/>
        </w:rPr>
        <w:t>。</w:t>
      </w:r>
      <w:r>
        <w:rPr>
          <w:rFonts w:hint="eastAsia" w:ascii="仿宋_GB2312" w:hAnsi="仿宋_GB2312" w:cs="仿宋_GB2312"/>
          <w:b/>
          <w:bCs/>
          <w:sz w:val="32"/>
          <w:szCs w:val="32"/>
          <w:highlight w:val="none"/>
        </w:rPr>
        <w:t>儿童福利方面</w:t>
      </w:r>
      <w:r>
        <w:rPr>
          <w:rFonts w:hint="eastAsia" w:ascii="仿宋_GB2312" w:hAnsi="仿宋_GB2312" w:cs="仿宋_GB2312"/>
          <w:sz w:val="32"/>
          <w:szCs w:val="32"/>
          <w:highlight w:val="none"/>
        </w:rPr>
        <w:t>，资助孤儿完成学业，</w:t>
      </w:r>
      <w:r>
        <w:rPr>
          <w:rFonts w:ascii="仿宋_GB2312" w:hAnsi="仿宋_GB2312" w:cs="仿宋_GB2312"/>
          <w:sz w:val="32"/>
          <w:szCs w:val="32"/>
          <w:highlight w:val="none"/>
        </w:rPr>
        <w:t>教育</w:t>
      </w:r>
      <w:r>
        <w:rPr>
          <w:rFonts w:hint="eastAsia" w:ascii="仿宋_GB2312" w:hAnsi="仿宋_GB2312" w:cs="仿宋_GB2312"/>
          <w:sz w:val="32"/>
          <w:szCs w:val="32"/>
          <w:highlight w:val="none"/>
        </w:rPr>
        <w:t>资助孤儿实现了应保尽保</w:t>
      </w:r>
      <w:r>
        <w:rPr>
          <w:rFonts w:ascii="仿宋_GB2312" w:hAnsi="仿宋_GB2312" w:cs="仿宋_GB2312"/>
          <w:sz w:val="32"/>
          <w:szCs w:val="32"/>
          <w:highlight w:val="none"/>
        </w:rPr>
        <w:t>。</w:t>
      </w:r>
    </w:p>
    <w:p>
      <w:pPr>
        <w:wordWrap/>
        <w:adjustRightInd/>
        <w:snapToGrid/>
        <w:spacing w:line="560" w:lineRule="exact"/>
        <w:ind w:left="0" w:leftChars="0" w:right="0" w:firstLine="643" w:firstLineChars="200"/>
        <w:jc w:val="both"/>
        <w:textAlignment w:val="auto"/>
        <w:rPr>
          <w:rFonts w:ascii="仿宋_GB2312" w:hAnsi="仿宋_GB2312" w:cs="仿宋_GB2312"/>
          <w:sz w:val="32"/>
          <w:szCs w:val="32"/>
          <w:highlight w:val="none"/>
        </w:rPr>
      </w:pPr>
      <w:r>
        <w:rPr>
          <w:rFonts w:hint="eastAsia" w:ascii="仿宋_GB2312"/>
          <w:b/>
          <w:bCs/>
          <w:sz w:val="32"/>
          <w:szCs w:val="32"/>
          <w:highlight w:val="none"/>
        </w:rPr>
        <w:t>（3）时效指标。</w:t>
      </w:r>
      <w:r>
        <w:rPr>
          <w:rFonts w:hint="eastAsia" w:ascii="仿宋_GB2312" w:hAnsi="仿宋_GB2312" w:cs="仿宋_GB2312"/>
          <w:sz w:val="32"/>
          <w:szCs w:val="32"/>
          <w:highlight w:val="none"/>
        </w:rPr>
        <w:t>截至</w:t>
      </w:r>
      <w:r>
        <w:rPr>
          <w:rFonts w:ascii="仿宋_GB2312" w:hAnsi="仿宋_GB2312" w:cs="仿宋_GB2312"/>
          <w:sz w:val="32"/>
          <w:szCs w:val="32"/>
          <w:highlight w:val="none"/>
        </w:rPr>
        <w:t>2022</w:t>
      </w:r>
      <w:r>
        <w:rPr>
          <w:rFonts w:hint="eastAsia" w:ascii="仿宋_GB2312" w:hAnsi="仿宋_GB2312" w:cs="仿宋_GB2312"/>
          <w:sz w:val="32"/>
          <w:szCs w:val="32"/>
          <w:highlight w:val="none"/>
        </w:rPr>
        <w:t>年底，基本完成孤儿助学金发放工作</w:t>
      </w:r>
      <w:r>
        <w:rPr>
          <w:rFonts w:ascii="仿宋_GB2312" w:hAnsi="仿宋_GB2312" w:cs="仿宋_GB2312"/>
          <w:sz w:val="32"/>
          <w:szCs w:val="32"/>
          <w:highlight w:val="none"/>
        </w:rPr>
        <w:t>，</w:t>
      </w:r>
      <w:r>
        <w:rPr>
          <w:rFonts w:hint="eastAsia" w:ascii="仿宋_GB2312" w:hAnsi="仿宋_GB2312" w:cs="仿宋_GB2312"/>
          <w:sz w:val="32"/>
          <w:szCs w:val="32"/>
          <w:highlight w:val="none"/>
          <w:lang w:eastAsia="zh-CN"/>
        </w:rPr>
        <w:t>部分区已完成养老机构消防升级改造和邻里互助养老服务点项目，其他区</w:t>
      </w:r>
      <w:r>
        <w:rPr>
          <w:rFonts w:hint="eastAsia" w:ascii="仿宋_GB2312" w:hAnsi="仿宋_GB2312" w:cs="仿宋_GB2312"/>
          <w:sz w:val="32"/>
          <w:szCs w:val="32"/>
          <w:highlight w:val="none"/>
        </w:rPr>
        <w:t>养老机构消防升级改造项目</w:t>
      </w:r>
      <w:r>
        <w:rPr>
          <w:rFonts w:ascii="仿宋_GB2312" w:hAnsi="仿宋_GB2312" w:cs="仿宋_GB2312"/>
          <w:sz w:val="32"/>
          <w:szCs w:val="32"/>
          <w:highlight w:val="none"/>
        </w:rPr>
        <w:t>、</w:t>
      </w:r>
      <w:r>
        <w:rPr>
          <w:rFonts w:hint="eastAsia" w:ascii="仿宋_GB2312" w:hAnsi="仿宋_GB2312" w:cs="仿宋_GB2312"/>
          <w:sz w:val="32"/>
          <w:szCs w:val="32"/>
          <w:highlight w:val="none"/>
        </w:rPr>
        <w:t>邻里互助养老服务点项目</w:t>
      </w:r>
      <w:r>
        <w:rPr>
          <w:rFonts w:ascii="仿宋_GB2312" w:hAnsi="仿宋_GB2312" w:cs="仿宋_GB2312"/>
          <w:sz w:val="32"/>
          <w:szCs w:val="32"/>
          <w:highlight w:val="none"/>
        </w:rPr>
        <w:t>、</w:t>
      </w:r>
      <w:r>
        <w:rPr>
          <w:rFonts w:hint="eastAsia" w:ascii="仿宋_GB2312" w:hAnsi="仿宋_GB2312" w:cs="仿宋_GB2312"/>
          <w:sz w:val="32"/>
          <w:szCs w:val="32"/>
          <w:highlight w:val="none"/>
        </w:rPr>
        <w:t>西城区居家和社区基本养老服务提升工作</w:t>
      </w:r>
      <w:r>
        <w:rPr>
          <w:rFonts w:ascii="仿宋_GB2312" w:hAnsi="仿宋_GB2312" w:cs="仿宋_GB2312"/>
          <w:sz w:val="32"/>
          <w:szCs w:val="32"/>
          <w:highlight w:val="none"/>
        </w:rPr>
        <w:t>以及精神卫生社会福利机构设备购置</w:t>
      </w:r>
      <w:r>
        <w:rPr>
          <w:rFonts w:hint="eastAsia" w:ascii="仿宋_GB2312" w:hAnsi="仿宋_GB2312" w:cs="仿宋_GB2312"/>
          <w:sz w:val="32"/>
          <w:szCs w:val="32"/>
          <w:highlight w:val="none"/>
        </w:rPr>
        <w:t>项目</w:t>
      </w:r>
      <w:r>
        <w:rPr>
          <w:rFonts w:hint="eastAsia" w:ascii="仿宋_GB2312" w:hAnsi="仿宋_GB2312" w:cs="仿宋_GB2312"/>
          <w:sz w:val="32"/>
          <w:szCs w:val="32"/>
          <w:highlight w:val="none"/>
          <w:lang w:eastAsia="zh-CN"/>
        </w:rPr>
        <w:t>受疫情等因素影响</w:t>
      </w:r>
      <w:r>
        <w:rPr>
          <w:rFonts w:hint="eastAsia" w:ascii="仿宋_GB2312" w:hAnsi="仿宋_GB2312" w:cs="仿宋_GB2312"/>
          <w:sz w:val="32"/>
          <w:szCs w:val="32"/>
          <w:highlight w:val="none"/>
        </w:rPr>
        <w:t>正在推进。</w:t>
      </w:r>
    </w:p>
    <w:p>
      <w:pPr>
        <w:wordWrap/>
        <w:adjustRightInd/>
        <w:snapToGrid/>
        <w:spacing w:line="560" w:lineRule="exact"/>
        <w:ind w:left="0" w:leftChars="0" w:right="0" w:firstLine="643" w:firstLineChars="200"/>
        <w:jc w:val="both"/>
        <w:textAlignment w:val="auto"/>
        <w:rPr>
          <w:rFonts w:ascii="仿宋_GB2312" w:hAnsi="仿宋_GB2312" w:cs="仿宋_GB2312"/>
          <w:sz w:val="32"/>
          <w:szCs w:val="32"/>
          <w:highlight w:val="none"/>
        </w:rPr>
      </w:pPr>
      <w:r>
        <w:rPr>
          <w:rFonts w:hint="eastAsia" w:ascii="仿宋_GB2312" w:hAnsi="仿宋_GB2312" w:cs="仿宋_GB2312"/>
          <w:b/>
          <w:bCs/>
          <w:sz w:val="32"/>
          <w:szCs w:val="32"/>
          <w:highlight w:val="none"/>
        </w:rPr>
        <w:t>（4）成本指标。</w:t>
      </w:r>
      <w:r>
        <w:rPr>
          <w:rFonts w:hint="eastAsia" w:ascii="仿宋_GB2312" w:hAnsi="仿宋_GB2312" w:cs="仿宋_GB2312"/>
          <w:sz w:val="32"/>
          <w:szCs w:val="32"/>
          <w:highlight w:val="none"/>
        </w:rPr>
        <w:t>截至20</w:t>
      </w:r>
      <w:r>
        <w:rPr>
          <w:rFonts w:ascii="仿宋_GB2312" w:hAnsi="仿宋_GB2312" w:cs="仿宋_GB2312"/>
          <w:sz w:val="32"/>
          <w:szCs w:val="32"/>
          <w:highlight w:val="none"/>
        </w:rPr>
        <w:t>22</w:t>
      </w:r>
      <w:r>
        <w:rPr>
          <w:rFonts w:hint="eastAsia" w:ascii="仿宋_GB2312" w:hAnsi="仿宋_GB2312" w:cs="仿宋_GB2312"/>
          <w:sz w:val="32"/>
          <w:szCs w:val="32"/>
          <w:highlight w:val="none"/>
        </w:rPr>
        <w:t>年底，中央福利彩票公益金累计支出4</w:t>
      </w:r>
      <w:r>
        <w:rPr>
          <w:rFonts w:ascii="仿宋_GB2312" w:hAnsi="仿宋_GB2312" w:cs="仿宋_GB2312"/>
          <w:sz w:val="32"/>
          <w:szCs w:val="32"/>
          <w:highlight w:val="none"/>
        </w:rPr>
        <w:t>24</w:t>
      </w:r>
      <w:r>
        <w:rPr>
          <w:rFonts w:hint="eastAsia" w:ascii="仿宋_GB2312" w:hAnsi="仿宋_GB2312" w:cs="仿宋_GB2312"/>
          <w:sz w:val="32"/>
          <w:szCs w:val="32"/>
          <w:highlight w:val="none"/>
        </w:rPr>
        <w:t>.</w:t>
      </w:r>
      <w:r>
        <w:rPr>
          <w:rFonts w:ascii="仿宋_GB2312" w:hAnsi="仿宋_GB2312" w:cs="仿宋_GB2312"/>
          <w:sz w:val="32"/>
          <w:szCs w:val="32"/>
          <w:highlight w:val="none"/>
        </w:rPr>
        <w:t>42</w:t>
      </w:r>
      <w:r>
        <w:rPr>
          <w:rFonts w:hint="eastAsia" w:ascii="仿宋_GB2312" w:hAnsi="仿宋_GB2312" w:cs="仿宋_GB2312"/>
          <w:sz w:val="32"/>
          <w:szCs w:val="32"/>
          <w:highlight w:val="none"/>
        </w:rPr>
        <w:t>万元，预算执行率</w:t>
      </w:r>
      <w:r>
        <w:rPr>
          <w:rFonts w:ascii="仿宋_GB2312" w:hAnsi="仿宋_GB2312" w:cs="仿宋_GB2312"/>
          <w:sz w:val="32"/>
          <w:szCs w:val="32"/>
          <w:highlight w:val="none"/>
        </w:rPr>
        <w:t>15</w:t>
      </w:r>
      <w:r>
        <w:rPr>
          <w:rFonts w:hint="eastAsia" w:ascii="仿宋_GB2312" w:hAnsi="仿宋_GB2312" w:cs="仿宋_GB2312"/>
          <w:sz w:val="32"/>
          <w:szCs w:val="32"/>
          <w:highlight w:val="none"/>
        </w:rPr>
        <w:t>.</w:t>
      </w:r>
      <w:r>
        <w:rPr>
          <w:rFonts w:ascii="仿宋_GB2312" w:hAnsi="仿宋_GB2312" w:cs="仿宋_GB2312"/>
          <w:sz w:val="32"/>
          <w:szCs w:val="32"/>
          <w:highlight w:val="none"/>
        </w:rPr>
        <w:t>16</w:t>
      </w:r>
      <w:r>
        <w:rPr>
          <w:rFonts w:hint="eastAsia" w:ascii="仿宋_GB2312" w:hAnsi="仿宋_GB2312" w:cs="仿宋_GB2312"/>
          <w:sz w:val="32"/>
          <w:szCs w:val="32"/>
          <w:highlight w:val="none"/>
        </w:rPr>
        <w:t>%。各项成本控制在预算范围内。</w:t>
      </w:r>
    </w:p>
    <w:p>
      <w:pPr>
        <w:wordWrap/>
        <w:adjustRightInd/>
        <w:snapToGrid/>
        <w:spacing w:line="560" w:lineRule="exact"/>
        <w:ind w:left="0" w:leftChars="0" w:right="0" w:firstLine="643" w:firstLineChars="200"/>
        <w:jc w:val="both"/>
        <w:textAlignment w:val="auto"/>
        <w:rPr>
          <w:rFonts w:ascii="仿宋_GB2312"/>
          <w:sz w:val="32"/>
          <w:szCs w:val="32"/>
          <w:highlight w:val="none"/>
        </w:rPr>
      </w:pPr>
      <w:r>
        <w:rPr>
          <w:rFonts w:hint="eastAsia" w:ascii="仿宋_GB2312"/>
          <w:b/>
          <w:bCs/>
          <w:sz w:val="32"/>
          <w:szCs w:val="32"/>
          <w:highlight w:val="none"/>
        </w:rPr>
        <w:t>2.效益指标完成情况分析。</w:t>
      </w:r>
      <w:r>
        <w:rPr>
          <w:rFonts w:hint="eastAsia" w:ascii="仿宋_GB2312" w:hAnsi="仿宋_GB2312" w:cs="仿宋_GB2312"/>
          <w:b/>
          <w:bCs/>
          <w:sz w:val="32"/>
          <w:szCs w:val="32"/>
          <w:highlight w:val="none"/>
        </w:rPr>
        <w:t>老年人福利</w:t>
      </w:r>
      <w:r>
        <w:rPr>
          <w:rFonts w:ascii="仿宋_GB2312" w:hAnsi="仿宋_GB2312" w:cs="仿宋_GB2312"/>
          <w:b/>
          <w:bCs/>
          <w:sz w:val="32"/>
          <w:szCs w:val="32"/>
          <w:highlight w:val="none"/>
        </w:rPr>
        <w:t>方面</w:t>
      </w:r>
      <w:r>
        <w:rPr>
          <w:rFonts w:ascii="仿宋_GB2312" w:hAnsi="仿宋_GB2312" w:cs="仿宋_GB2312"/>
          <w:sz w:val="32"/>
          <w:szCs w:val="32"/>
          <w:highlight w:val="none"/>
        </w:rPr>
        <w:t>，</w:t>
      </w:r>
      <w:r>
        <w:rPr>
          <w:rFonts w:hint="eastAsia" w:ascii="仿宋_GB2312" w:hAnsi="仿宋_GB2312" w:cs="仿宋_GB2312"/>
          <w:sz w:val="32"/>
          <w:szCs w:val="32"/>
          <w:highlight w:val="none"/>
        </w:rPr>
        <w:t>支持养老机构服务设施改造及设备设施配置，</w:t>
      </w:r>
      <w:r>
        <w:rPr>
          <w:rFonts w:ascii="仿宋_GB2312" w:hAnsi="仿宋_GB2312" w:cs="仿宋_GB2312"/>
          <w:sz w:val="32"/>
          <w:szCs w:val="32"/>
          <w:highlight w:val="none"/>
        </w:rPr>
        <w:t>有效</w:t>
      </w:r>
      <w:r>
        <w:rPr>
          <w:rFonts w:hint="eastAsia" w:ascii="仿宋_GB2312" w:hAnsi="仿宋_GB2312" w:cs="仿宋_GB2312"/>
          <w:sz w:val="32"/>
          <w:szCs w:val="32"/>
          <w:highlight w:val="none"/>
        </w:rPr>
        <w:t>化解</w:t>
      </w:r>
      <w:r>
        <w:rPr>
          <w:rFonts w:ascii="仿宋_GB2312" w:hAnsi="仿宋_GB2312" w:cs="仿宋_GB2312"/>
          <w:sz w:val="32"/>
          <w:szCs w:val="32"/>
          <w:highlight w:val="none"/>
        </w:rPr>
        <w:t>消防安全隐患，</w:t>
      </w:r>
      <w:r>
        <w:rPr>
          <w:rFonts w:hint="eastAsia" w:ascii="仿宋_GB2312" w:hAnsi="仿宋_GB2312" w:cs="仿宋_GB2312"/>
          <w:sz w:val="32"/>
          <w:szCs w:val="32"/>
          <w:highlight w:val="none"/>
        </w:rPr>
        <w:t>提升养老服务设施服务能力</w:t>
      </w:r>
      <w:r>
        <w:rPr>
          <w:rFonts w:ascii="仿宋_GB2312" w:hAnsi="仿宋_GB2312" w:cs="仿宋_GB2312"/>
          <w:sz w:val="32"/>
          <w:szCs w:val="32"/>
          <w:highlight w:val="none"/>
        </w:rPr>
        <w:t>，有效带动养老领域社会资本投入88</w:t>
      </w:r>
      <w:r>
        <w:rPr>
          <w:rFonts w:hint="eastAsia" w:ascii="仿宋_GB2312" w:hAnsi="仿宋_GB2312" w:cs="仿宋_GB2312"/>
          <w:sz w:val="32"/>
          <w:szCs w:val="32"/>
          <w:highlight w:val="none"/>
        </w:rPr>
        <w:t>.</w:t>
      </w:r>
      <w:r>
        <w:rPr>
          <w:rFonts w:ascii="仿宋_GB2312" w:hAnsi="仿宋_GB2312" w:cs="仿宋_GB2312"/>
          <w:sz w:val="32"/>
          <w:szCs w:val="32"/>
          <w:highlight w:val="none"/>
        </w:rPr>
        <w:t>91</w:t>
      </w:r>
      <w:r>
        <w:rPr>
          <w:rFonts w:hint="eastAsia" w:ascii="仿宋_GB2312" w:hAnsi="仿宋_GB2312" w:cs="仿宋_GB2312"/>
          <w:sz w:val="32"/>
          <w:szCs w:val="32"/>
          <w:highlight w:val="none"/>
        </w:rPr>
        <w:t>万元。</w:t>
      </w:r>
      <w:r>
        <w:rPr>
          <w:rFonts w:hint="eastAsia" w:ascii="仿宋_GB2312" w:hAnsi="仿宋_GB2312" w:cs="仿宋_GB2312"/>
          <w:b/>
          <w:bCs/>
          <w:sz w:val="32"/>
          <w:szCs w:val="32"/>
          <w:highlight w:val="none"/>
        </w:rPr>
        <w:t>残疾人福利方面</w:t>
      </w:r>
      <w:r>
        <w:rPr>
          <w:rFonts w:ascii="仿宋_GB2312" w:hAnsi="仿宋_GB2312" w:cs="仿宋_GB2312"/>
          <w:b/>
          <w:bCs/>
          <w:sz w:val="32"/>
          <w:szCs w:val="32"/>
          <w:highlight w:val="none"/>
        </w:rPr>
        <w:t>，</w:t>
      </w:r>
      <w:r>
        <w:rPr>
          <w:rFonts w:hint="eastAsia" w:ascii="仿宋_GB2312" w:hAnsi="仿宋_GB2312" w:cs="仿宋_GB2312"/>
          <w:sz w:val="32"/>
          <w:szCs w:val="32"/>
          <w:highlight w:val="none"/>
        </w:rPr>
        <w:t>通过支持精神卫生社会福利机构设备购置，推动残疾人服务机构行业发展</w:t>
      </w:r>
      <w:r>
        <w:rPr>
          <w:rFonts w:ascii="仿宋_GB2312" w:hAnsi="仿宋_GB2312" w:cs="仿宋_GB2312"/>
          <w:sz w:val="32"/>
          <w:szCs w:val="32"/>
          <w:highlight w:val="none"/>
        </w:rPr>
        <w:t>。</w:t>
      </w:r>
      <w:r>
        <w:rPr>
          <w:rFonts w:hint="eastAsia" w:ascii="仿宋_GB2312" w:hAnsi="仿宋_GB2312" w:cs="仿宋_GB2312"/>
          <w:b/>
          <w:bCs/>
          <w:sz w:val="32"/>
          <w:szCs w:val="32"/>
          <w:highlight w:val="none"/>
        </w:rPr>
        <w:t>儿童福利方面</w:t>
      </w:r>
      <w:r>
        <w:rPr>
          <w:rFonts w:hint="eastAsia" w:ascii="仿宋_GB2312" w:hAnsi="仿宋_GB2312" w:cs="仿宋_GB2312"/>
          <w:sz w:val="32"/>
          <w:szCs w:val="32"/>
          <w:highlight w:val="none"/>
        </w:rPr>
        <w:t>，通过为符合资助条件的孤儿提供助学金，资助孤儿完成学业</w:t>
      </w:r>
      <w:r>
        <w:rPr>
          <w:rFonts w:ascii="仿宋_GB2312" w:hAnsi="仿宋_GB2312" w:cs="仿宋_GB2312"/>
          <w:sz w:val="32"/>
          <w:szCs w:val="32"/>
          <w:highlight w:val="none"/>
        </w:rPr>
        <w:t>。</w:t>
      </w:r>
    </w:p>
    <w:p>
      <w:pPr>
        <w:wordWrap/>
        <w:adjustRightInd/>
        <w:snapToGrid/>
        <w:spacing w:line="560" w:lineRule="exact"/>
        <w:ind w:left="0" w:leftChars="0" w:right="0" w:firstLine="643" w:firstLineChars="200"/>
        <w:jc w:val="both"/>
        <w:textAlignment w:val="auto"/>
        <w:rPr>
          <w:rFonts w:ascii="仿宋_GB2312" w:hAnsi="仿宋_GB2312" w:cs="仿宋_GB2312"/>
          <w:sz w:val="32"/>
          <w:szCs w:val="32"/>
          <w:highlight w:val="none"/>
        </w:rPr>
      </w:pPr>
      <w:r>
        <w:rPr>
          <w:rFonts w:hint="eastAsia" w:ascii="仿宋_GB2312"/>
          <w:b/>
          <w:bCs/>
          <w:sz w:val="32"/>
          <w:szCs w:val="32"/>
          <w:highlight w:val="none"/>
        </w:rPr>
        <w:t>3.满意度指标完成情况分析。</w:t>
      </w:r>
      <w:r>
        <w:rPr>
          <w:rFonts w:hint="eastAsia" w:ascii="仿宋_GB2312" w:hAnsi="仿宋_GB2312" w:cs="仿宋_GB2312"/>
          <w:sz w:val="32"/>
          <w:szCs w:val="32"/>
          <w:highlight w:val="none"/>
        </w:rPr>
        <w:t>根据各区及项目单位统计数据反馈，入住对象对养老机构服务满意度9</w:t>
      </w:r>
      <w:r>
        <w:rPr>
          <w:rFonts w:ascii="仿宋_GB2312" w:hAnsi="仿宋_GB2312" w:cs="仿宋_GB2312"/>
          <w:sz w:val="32"/>
          <w:szCs w:val="32"/>
          <w:highlight w:val="none"/>
        </w:rPr>
        <w:t>5</w:t>
      </w:r>
      <w:r>
        <w:rPr>
          <w:rFonts w:hint="eastAsia" w:ascii="仿宋_GB2312" w:hAnsi="仿宋_GB2312" w:cs="仿宋_GB2312"/>
          <w:sz w:val="32"/>
          <w:szCs w:val="32"/>
          <w:highlight w:val="none"/>
        </w:rPr>
        <w:t>.</w:t>
      </w:r>
      <w:r>
        <w:rPr>
          <w:rFonts w:ascii="仿宋_GB2312" w:hAnsi="仿宋_GB2312" w:cs="仿宋_GB2312"/>
          <w:sz w:val="32"/>
          <w:szCs w:val="32"/>
          <w:highlight w:val="none"/>
        </w:rPr>
        <w:t>83</w:t>
      </w:r>
      <w:r>
        <w:rPr>
          <w:rFonts w:hint="eastAsia" w:ascii="仿宋_GB2312" w:hAnsi="仿宋_GB2312" w:cs="仿宋_GB2312"/>
          <w:sz w:val="32"/>
          <w:szCs w:val="32"/>
          <w:highlight w:val="none"/>
        </w:rPr>
        <w:t>%，农村邻里互助养老服务点服务对象对服务抽样满意度</w:t>
      </w:r>
      <w:r>
        <w:rPr>
          <w:rFonts w:ascii="仿宋_GB2312" w:hAnsi="仿宋_GB2312" w:cs="仿宋_GB2312"/>
          <w:sz w:val="32"/>
          <w:szCs w:val="32"/>
          <w:highlight w:val="none"/>
        </w:rPr>
        <w:t>96</w:t>
      </w:r>
      <w:r>
        <w:rPr>
          <w:rFonts w:hint="eastAsia" w:ascii="仿宋_GB2312" w:hAnsi="仿宋_GB2312" w:cs="仿宋_GB2312"/>
          <w:sz w:val="32"/>
          <w:szCs w:val="32"/>
          <w:highlight w:val="none"/>
        </w:rPr>
        <w:t>.</w:t>
      </w:r>
      <w:r>
        <w:rPr>
          <w:rFonts w:ascii="仿宋_GB2312" w:hAnsi="仿宋_GB2312" w:cs="仿宋_GB2312"/>
          <w:sz w:val="32"/>
          <w:szCs w:val="32"/>
          <w:highlight w:val="none"/>
        </w:rPr>
        <w:t>61%，</w:t>
      </w:r>
      <w:r>
        <w:rPr>
          <w:rFonts w:hint="eastAsia" w:ascii="仿宋_GB2312" w:hAnsi="仿宋_GB2312" w:cs="仿宋_GB2312"/>
          <w:sz w:val="32"/>
          <w:szCs w:val="32"/>
          <w:highlight w:val="none"/>
        </w:rPr>
        <w:t>接受孤儿助学项目资助的孤儿满意度</w:t>
      </w:r>
      <w:r>
        <w:rPr>
          <w:rFonts w:ascii="仿宋_GB2312" w:hAnsi="仿宋_GB2312" w:cs="仿宋_GB2312"/>
          <w:sz w:val="32"/>
          <w:szCs w:val="32"/>
          <w:highlight w:val="none"/>
        </w:rPr>
        <w:t>98</w:t>
      </w:r>
      <w:r>
        <w:rPr>
          <w:rFonts w:hint="eastAsia" w:ascii="仿宋_GB2312" w:hAnsi="仿宋_GB2312" w:cs="仿宋_GB2312"/>
          <w:sz w:val="32"/>
          <w:szCs w:val="32"/>
          <w:highlight w:val="none"/>
        </w:rPr>
        <w:t>.</w:t>
      </w:r>
      <w:r>
        <w:rPr>
          <w:rFonts w:ascii="仿宋_GB2312" w:hAnsi="仿宋_GB2312" w:cs="仿宋_GB2312"/>
          <w:sz w:val="32"/>
          <w:szCs w:val="32"/>
          <w:highlight w:val="none"/>
        </w:rPr>
        <w:t>61</w:t>
      </w:r>
      <w:r>
        <w:rPr>
          <w:rFonts w:hint="eastAsia" w:ascii="仿宋_GB2312" w:hAnsi="仿宋_GB2312" w:cs="仿宋_GB2312"/>
          <w:sz w:val="32"/>
          <w:szCs w:val="32"/>
          <w:highlight w:val="none"/>
        </w:rPr>
        <w:t>%</w:t>
      </w:r>
      <w:r>
        <w:rPr>
          <w:rFonts w:ascii="仿宋_GB2312" w:hAnsi="仿宋_GB2312" w:cs="仿宋_GB2312"/>
          <w:sz w:val="32"/>
          <w:szCs w:val="32"/>
          <w:highlight w:val="none"/>
        </w:rPr>
        <w:t>，</w:t>
      </w:r>
      <w:r>
        <w:rPr>
          <w:rFonts w:hint="eastAsia" w:ascii="仿宋_GB2312" w:hAnsi="仿宋_GB2312" w:cs="仿宋_GB2312"/>
          <w:sz w:val="32"/>
          <w:szCs w:val="32"/>
          <w:highlight w:val="none"/>
        </w:rPr>
        <w:t>由于</w:t>
      </w:r>
      <w:r>
        <w:rPr>
          <w:rFonts w:hint="eastAsia" w:ascii="仿宋_GB2312"/>
          <w:sz w:val="32"/>
          <w:szCs w:val="32"/>
          <w:highlight w:val="none"/>
        </w:rPr>
        <w:t>居家和社区基本养老服务提升行动项目</w:t>
      </w:r>
      <w:r>
        <w:rPr>
          <w:rFonts w:hint="eastAsia" w:ascii="仿宋_GB2312" w:hAnsi="仿宋_GB2312" w:cs="仿宋_GB2312"/>
          <w:sz w:val="32"/>
          <w:szCs w:val="32"/>
          <w:highlight w:val="none"/>
        </w:rPr>
        <w:t>尚在推进，受益家庭对居家和社区基本养老服务满意度数据暂无法提供。</w:t>
      </w:r>
    </w:p>
    <w:p>
      <w:pPr>
        <w:wordWrap/>
        <w:adjustRightInd/>
        <w:snapToGrid/>
        <w:spacing w:line="560" w:lineRule="exact"/>
        <w:ind w:left="0" w:leftChars="0" w:right="0" w:firstLine="640" w:firstLineChars="200"/>
        <w:jc w:val="both"/>
        <w:textAlignment w:val="auto"/>
        <w:rPr>
          <w:rFonts w:hint="eastAsia" w:ascii="黑体" w:hAnsi="黑体" w:eastAsia="黑体" w:cs="黑体"/>
          <w:bCs/>
          <w:sz w:val="32"/>
          <w:szCs w:val="32"/>
          <w:highlight w:val="none"/>
        </w:rPr>
      </w:pPr>
      <w:r>
        <w:rPr>
          <w:rFonts w:hint="eastAsia" w:ascii="黑体" w:hAnsi="黑体" w:eastAsia="黑体" w:cs="黑体"/>
          <w:bCs/>
          <w:sz w:val="32"/>
          <w:szCs w:val="32"/>
          <w:highlight w:val="none"/>
        </w:rPr>
        <w:t>三、</w:t>
      </w:r>
      <w:r>
        <w:rPr>
          <w:rFonts w:hint="eastAsia" w:ascii="黑体" w:hAnsi="黑体" w:eastAsia="黑体" w:cs="黑体"/>
          <w:bCs/>
          <w:sz w:val="32"/>
          <w:szCs w:val="32"/>
          <w:highlight w:val="none"/>
          <w:lang w:eastAsia="zh-CN"/>
        </w:rPr>
        <w:t>绩效自评结论</w:t>
      </w:r>
    </w:p>
    <w:p>
      <w:pPr>
        <w:wordWrap/>
        <w:adjustRightInd/>
        <w:snapToGrid/>
        <w:spacing w:line="560" w:lineRule="exact"/>
        <w:ind w:left="0" w:leftChars="0" w:right="0" w:firstLine="640" w:firstLineChars="200"/>
        <w:jc w:val="both"/>
        <w:textAlignment w:val="auto"/>
        <w:rPr>
          <w:rFonts w:ascii="仿宋_GB2312"/>
          <w:sz w:val="32"/>
          <w:szCs w:val="32"/>
          <w:highlight w:val="none"/>
        </w:rPr>
      </w:pPr>
      <w:r>
        <w:rPr>
          <w:rFonts w:hint="eastAsia" w:ascii="仿宋_GB2312"/>
          <w:sz w:val="32"/>
          <w:szCs w:val="32"/>
          <w:highlight w:val="none"/>
        </w:rPr>
        <w:t>资金</w:t>
      </w:r>
      <w:r>
        <w:rPr>
          <w:rFonts w:hint="eastAsia"/>
          <w:sz w:val="32"/>
          <w:szCs w:val="32"/>
          <w:highlight w:val="none"/>
          <w:lang w:eastAsia="zh-CN"/>
        </w:rPr>
        <w:t>严格</w:t>
      </w:r>
      <w:r>
        <w:rPr>
          <w:rFonts w:hint="eastAsia"/>
          <w:sz w:val="32"/>
          <w:szCs w:val="32"/>
          <w:highlight w:val="none"/>
        </w:rPr>
        <w:t>按照福利彩票“扶老、助残、救孤、济困”的使用宗旨</w:t>
      </w:r>
      <w:r>
        <w:rPr>
          <w:rFonts w:hint="eastAsia"/>
          <w:sz w:val="32"/>
          <w:szCs w:val="32"/>
          <w:highlight w:val="none"/>
          <w:lang w:eastAsia="zh-CN"/>
        </w:rPr>
        <w:t>以及相关政策</w:t>
      </w:r>
      <w:r>
        <w:rPr>
          <w:rFonts w:hint="eastAsia" w:ascii="仿宋_GB2312"/>
          <w:sz w:val="32"/>
          <w:szCs w:val="32"/>
          <w:highlight w:val="none"/>
        </w:rPr>
        <w:t>规定的范围和标准分配</w:t>
      </w:r>
      <w:r>
        <w:rPr>
          <w:rFonts w:hint="eastAsia" w:ascii="仿宋_GB2312"/>
          <w:sz w:val="32"/>
          <w:szCs w:val="32"/>
          <w:highlight w:val="none"/>
          <w:lang w:eastAsia="zh-CN"/>
        </w:rPr>
        <w:t>，促进了</w:t>
      </w:r>
      <w:r>
        <w:rPr>
          <w:rFonts w:hint="eastAsia" w:ascii="仿宋_GB2312"/>
          <w:sz w:val="32"/>
          <w:szCs w:val="32"/>
          <w:highlight w:val="none"/>
        </w:rPr>
        <w:t>养老服务设施服务能力</w:t>
      </w:r>
      <w:r>
        <w:rPr>
          <w:rFonts w:hint="eastAsia" w:ascii="仿宋_GB2312"/>
          <w:sz w:val="32"/>
          <w:szCs w:val="32"/>
          <w:highlight w:val="none"/>
          <w:lang w:eastAsia="zh-CN"/>
        </w:rPr>
        <w:t>和</w:t>
      </w:r>
      <w:r>
        <w:rPr>
          <w:rFonts w:hint="eastAsia" w:ascii="仿宋_GB2312" w:hAnsi="仿宋_GB2312" w:cs="楷体_GB2312"/>
          <w:bCs/>
          <w:sz w:val="32"/>
          <w:szCs w:val="32"/>
          <w:highlight w:val="none"/>
        </w:rPr>
        <w:t>残疾人服务环境质量</w:t>
      </w:r>
      <w:r>
        <w:rPr>
          <w:rFonts w:hint="eastAsia" w:ascii="仿宋_GB2312"/>
          <w:sz w:val="32"/>
          <w:szCs w:val="32"/>
          <w:highlight w:val="none"/>
          <w:lang w:eastAsia="zh-CN"/>
        </w:rPr>
        <w:t>的提升，</w:t>
      </w:r>
      <w:r>
        <w:rPr>
          <w:rFonts w:hint="eastAsia" w:ascii="仿宋_GB2312"/>
          <w:sz w:val="32"/>
          <w:szCs w:val="32"/>
          <w:highlight w:val="none"/>
        </w:rPr>
        <w:t>资助</w:t>
      </w:r>
      <w:r>
        <w:rPr>
          <w:rFonts w:hint="eastAsia" w:ascii="仿宋_GB2312"/>
          <w:sz w:val="32"/>
          <w:szCs w:val="32"/>
          <w:highlight w:val="none"/>
          <w:lang w:eastAsia="zh-CN"/>
        </w:rPr>
        <w:t>符合条件的</w:t>
      </w:r>
      <w:r>
        <w:rPr>
          <w:rFonts w:hint="eastAsia" w:ascii="仿宋_GB2312"/>
          <w:sz w:val="32"/>
          <w:szCs w:val="32"/>
          <w:highlight w:val="none"/>
        </w:rPr>
        <w:t>孤儿完成</w:t>
      </w:r>
      <w:r>
        <w:rPr>
          <w:rFonts w:hint="eastAsia" w:ascii="仿宋_GB2312"/>
          <w:sz w:val="32"/>
          <w:szCs w:val="32"/>
          <w:highlight w:val="none"/>
          <w:lang w:eastAsia="zh-CN"/>
        </w:rPr>
        <w:t>了</w:t>
      </w:r>
      <w:r>
        <w:rPr>
          <w:rFonts w:hint="eastAsia" w:ascii="仿宋_GB2312"/>
          <w:sz w:val="32"/>
          <w:szCs w:val="32"/>
          <w:highlight w:val="none"/>
        </w:rPr>
        <w:t>学业</w:t>
      </w:r>
      <w:r>
        <w:rPr>
          <w:rFonts w:ascii="仿宋_GB2312"/>
          <w:sz w:val="32"/>
          <w:szCs w:val="32"/>
          <w:highlight w:val="none"/>
        </w:rPr>
        <w:t>。</w:t>
      </w:r>
    </w:p>
    <w:p>
      <w:pPr>
        <w:widowControl w:val="0"/>
        <w:wordWrap/>
        <w:adjustRightInd/>
        <w:snapToGrid/>
        <w:spacing w:line="560" w:lineRule="exact"/>
        <w:ind w:left="0" w:leftChars="0" w:right="0" w:firstLine="0" w:firstLineChars="0"/>
        <w:jc w:val="both"/>
        <w:textAlignment w:val="auto"/>
        <w:outlineLvl w:val="9"/>
        <w:rPr>
          <w:rFonts w:hint="eastAsia" w:ascii="仿宋_GB2312" w:hAnsi="仿宋_GB2312" w:cs="仿宋_GB2312"/>
          <w:bCs/>
          <w:color w:val="auto"/>
          <w:sz w:val="32"/>
          <w:szCs w:val="32"/>
          <w:highlight w:val="none"/>
          <w:lang w:val="en-US" w:eastAsia="zh-CN"/>
        </w:rPr>
      </w:pPr>
    </w:p>
    <w:bookmarkEnd w:id="0"/>
    <w:sectPr>
      <w:headerReference r:id="rId4" w:type="default"/>
      <w:footerReference r:id="rId5" w:type="default"/>
      <w:pgSz w:w="11906" w:h="16838"/>
      <w:pgMar w:top="2098" w:right="1474" w:bottom="1984" w:left="1587" w:header="851" w:footer="992" w:gutter="0"/>
      <w:cols w:space="720" w:num="1"/>
      <w:docGrid w:type="lines" w:linePitch="41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5"/>
    </w:pPr>
    <w:r>
      <w:rPr>
        <w:rFonts w:ascii="Times New Roman" w:hAnsi="Times New Roman" w:eastAsia="仿宋_GB2312" w:cs="Times New Roman"/>
        <w:kern w:val="2"/>
        <w:sz w:val="18"/>
        <w:szCs w:val="18"/>
        <w:lang w:val="en-US" w:eastAsia="zh-CN" w:bidi="ar-SA"/>
      </w:rPr>
      <w:pict>
        <v:rect id="文本框 2" o:spid="_x0000_s1025" style="position:absolute;left:0;margin-top:0pt;height:144pt;width:144pt;mso-position-horizontal:center;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6"/>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bordersDoNotSurroundHeader w:val="0"/>
  <w:bordersDoNotSurroundFooter w:val="0"/>
  <w:documentProtection w:enforcement="0"/>
  <w:defaultTabStop w:val="0"/>
  <w:drawingGridHorizontalSpacing w:val="150"/>
  <w:drawingGridVerticalSpacing w:val="210"/>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F57F82"/>
    <w:rsid w:val="000101E1"/>
    <w:rsid w:val="000732DA"/>
    <w:rsid w:val="00075CDC"/>
    <w:rsid w:val="000A7651"/>
    <w:rsid w:val="000B1E8F"/>
    <w:rsid w:val="00101F7E"/>
    <w:rsid w:val="00103D16"/>
    <w:rsid w:val="0011146E"/>
    <w:rsid w:val="0011666B"/>
    <w:rsid w:val="0013537F"/>
    <w:rsid w:val="00164D84"/>
    <w:rsid w:val="001C2E3E"/>
    <w:rsid w:val="001E37FD"/>
    <w:rsid w:val="001F151A"/>
    <w:rsid w:val="00201B79"/>
    <w:rsid w:val="00235949"/>
    <w:rsid w:val="00250053"/>
    <w:rsid w:val="002E61A9"/>
    <w:rsid w:val="002E6C28"/>
    <w:rsid w:val="002F6705"/>
    <w:rsid w:val="00301FC0"/>
    <w:rsid w:val="00320011"/>
    <w:rsid w:val="00363197"/>
    <w:rsid w:val="00387DD5"/>
    <w:rsid w:val="003A2E4C"/>
    <w:rsid w:val="003C6374"/>
    <w:rsid w:val="003E3F48"/>
    <w:rsid w:val="00493012"/>
    <w:rsid w:val="004B563B"/>
    <w:rsid w:val="0050184A"/>
    <w:rsid w:val="00534D80"/>
    <w:rsid w:val="00537839"/>
    <w:rsid w:val="00545972"/>
    <w:rsid w:val="00556CBE"/>
    <w:rsid w:val="00562AA2"/>
    <w:rsid w:val="005C7EED"/>
    <w:rsid w:val="005D7CC3"/>
    <w:rsid w:val="006136AE"/>
    <w:rsid w:val="006158E6"/>
    <w:rsid w:val="00641B00"/>
    <w:rsid w:val="00663821"/>
    <w:rsid w:val="00684A9A"/>
    <w:rsid w:val="00705CE8"/>
    <w:rsid w:val="00706C04"/>
    <w:rsid w:val="00724A6B"/>
    <w:rsid w:val="0072794A"/>
    <w:rsid w:val="007333DB"/>
    <w:rsid w:val="00775338"/>
    <w:rsid w:val="00813465"/>
    <w:rsid w:val="00840D6F"/>
    <w:rsid w:val="008B1206"/>
    <w:rsid w:val="008F60A3"/>
    <w:rsid w:val="00937811"/>
    <w:rsid w:val="00992CDC"/>
    <w:rsid w:val="009A02B0"/>
    <w:rsid w:val="009A0529"/>
    <w:rsid w:val="009E61D4"/>
    <w:rsid w:val="00A1488B"/>
    <w:rsid w:val="00A30F95"/>
    <w:rsid w:val="00A31F5E"/>
    <w:rsid w:val="00A32F4A"/>
    <w:rsid w:val="00A5546D"/>
    <w:rsid w:val="00A92C8F"/>
    <w:rsid w:val="00B316AD"/>
    <w:rsid w:val="00B4346A"/>
    <w:rsid w:val="00B7078D"/>
    <w:rsid w:val="00BB0E7F"/>
    <w:rsid w:val="00BD3656"/>
    <w:rsid w:val="00BE58CF"/>
    <w:rsid w:val="00BF2E74"/>
    <w:rsid w:val="00CE1744"/>
    <w:rsid w:val="00CE1F0D"/>
    <w:rsid w:val="00CF336F"/>
    <w:rsid w:val="00D23C43"/>
    <w:rsid w:val="00D23FB3"/>
    <w:rsid w:val="00D63908"/>
    <w:rsid w:val="00D95006"/>
    <w:rsid w:val="00DA29EC"/>
    <w:rsid w:val="00DD6007"/>
    <w:rsid w:val="00DE4FDA"/>
    <w:rsid w:val="00E22E2F"/>
    <w:rsid w:val="00ED0C22"/>
    <w:rsid w:val="00EE2249"/>
    <w:rsid w:val="00EE3FEC"/>
    <w:rsid w:val="00EE4BD9"/>
    <w:rsid w:val="00EF3698"/>
    <w:rsid w:val="00F22C16"/>
    <w:rsid w:val="00F312A6"/>
    <w:rsid w:val="00F362D2"/>
    <w:rsid w:val="00F433D4"/>
    <w:rsid w:val="00F57F82"/>
    <w:rsid w:val="00F72C1A"/>
    <w:rsid w:val="00FA357A"/>
    <w:rsid w:val="00FC1C56"/>
    <w:rsid w:val="00FD14E0"/>
    <w:rsid w:val="037D0BC8"/>
    <w:rsid w:val="03FCA087"/>
    <w:rsid w:val="068D77FB"/>
    <w:rsid w:val="07A71631"/>
    <w:rsid w:val="081362DC"/>
    <w:rsid w:val="0845082D"/>
    <w:rsid w:val="096E3588"/>
    <w:rsid w:val="09E965F2"/>
    <w:rsid w:val="0A5AC0C6"/>
    <w:rsid w:val="0B7BB7D1"/>
    <w:rsid w:val="0C1A0C5A"/>
    <w:rsid w:val="0E66764E"/>
    <w:rsid w:val="0E972280"/>
    <w:rsid w:val="0EE3107B"/>
    <w:rsid w:val="0EF28F2A"/>
    <w:rsid w:val="0F627427"/>
    <w:rsid w:val="100940BC"/>
    <w:rsid w:val="11FE6C02"/>
    <w:rsid w:val="123F0A7C"/>
    <w:rsid w:val="139840D3"/>
    <w:rsid w:val="143E091F"/>
    <w:rsid w:val="14865FC8"/>
    <w:rsid w:val="150C2DB0"/>
    <w:rsid w:val="156F4749"/>
    <w:rsid w:val="167A0763"/>
    <w:rsid w:val="174DC502"/>
    <w:rsid w:val="1A9C7EF7"/>
    <w:rsid w:val="1BFDCA2C"/>
    <w:rsid w:val="1BFFBB4E"/>
    <w:rsid w:val="1D031FA5"/>
    <w:rsid w:val="1DE13B91"/>
    <w:rsid w:val="1DF363B1"/>
    <w:rsid w:val="1DFFFBC0"/>
    <w:rsid w:val="1E761F05"/>
    <w:rsid w:val="1F7DF23B"/>
    <w:rsid w:val="1FA7E3FD"/>
    <w:rsid w:val="1FC7205C"/>
    <w:rsid w:val="1FE73162"/>
    <w:rsid w:val="1FFEC917"/>
    <w:rsid w:val="1FFFAF1F"/>
    <w:rsid w:val="1FFFFEB1"/>
    <w:rsid w:val="202847AC"/>
    <w:rsid w:val="21848B63"/>
    <w:rsid w:val="228B3D05"/>
    <w:rsid w:val="2297034D"/>
    <w:rsid w:val="23275F66"/>
    <w:rsid w:val="2350337E"/>
    <w:rsid w:val="255C0561"/>
    <w:rsid w:val="256B10EF"/>
    <w:rsid w:val="26FDB64B"/>
    <w:rsid w:val="27B70B4D"/>
    <w:rsid w:val="27B75216"/>
    <w:rsid w:val="27D711A4"/>
    <w:rsid w:val="2BBFBE66"/>
    <w:rsid w:val="2D8E4519"/>
    <w:rsid w:val="2F1D4ACB"/>
    <w:rsid w:val="2F7F5C2B"/>
    <w:rsid w:val="2FBFBCE0"/>
    <w:rsid w:val="2FDB35D4"/>
    <w:rsid w:val="2FFB095A"/>
    <w:rsid w:val="2FFC49E0"/>
    <w:rsid w:val="337CDBF3"/>
    <w:rsid w:val="33F5E08C"/>
    <w:rsid w:val="34A14405"/>
    <w:rsid w:val="359F689D"/>
    <w:rsid w:val="35EC5F20"/>
    <w:rsid w:val="35EE47B6"/>
    <w:rsid w:val="35FF807B"/>
    <w:rsid w:val="36767569"/>
    <w:rsid w:val="36EF2551"/>
    <w:rsid w:val="36F57D06"/>
    <w:rsid w:val="377AFFF1"/>
    <w:rsid w:val="3796FD1B"/>
    <w:rsid w:val="385E740A"/>
    <w:rsid w:val="38EF7AD8"/>
    <w:rsid w:val="390F6AAA"/>
    <w:rsid w:val="394F3583"/>
    <w:rsid w:val="395F1F4A"/>
    <w:rsid w:val="39BE2072"/>
    <w:rsid w:val="3AB77495"/>
    <w:rsid w:val="3AD76819"/>
    <w:rsid w:val="3BFF8306"/>
    <w:rsid w:val="3C69C4A1"/>
    <w:rsid w:val="3CCFC069"/>
    <w:rsid w:val="3CD817E2"/>
    <w:rsid w:val="3DB73D40"/>
    <w:rsid w:val="3DCC365D"/>
    <w:rsid w:val="3DEE52F0"/>
    <w:rsid w:val="3DF75E78"/>
    <w:rsid w:val="3E1672E6"/>
    <w:rsid w:val="3E3696C8"/>
    <w:rsid w:val="3E7D1697"/>
    <w:rsid w:val="3E7DFDA4"/>
    <w:rsid w:val="3E9B11D2"/>
    <w:rsid w:val="3EDFF427"/>
    <w:rsid w:val="3F3F40EF"/>
    <w:rsid w:val="3F9132B6"/>
    <w:rsid w:val="3F9A09D4"/>
    <w:rsid w:val="3FB7F325"/>
    <w:rsid w:val="3FB7FC26"/>
    <w:rsid w:val="3FBD97CD"/>
    <w:rsid w:val="3FCF5E8B"/>
    <w:rsid w:val="3FDB0672"/>
    <w:rsid w:val="3FE7E5DD"/>
    <w:rsid w:val="3FF713A6"/>
    <w:rsid w:val="3FF9C952"/>
    <w:rsid w:val="3FFFD8AC"/>
    <w:rsid w:val="40FBB4E1"/>
    <w:rsid w:val="415F08D8"/>
    <w:rsid w:val="425D6554"/>
    <w:rsid w:val="443D4582"/>
    <w:rsid w:val="44E2230F"/>
    <w:rsid w:val="477F2500"/>
    <w:rsid w:val="47F3D4CD"/>
    <w:rsid w:val="48B51347"/>
    <w:rsid w:val="494F667F"/>
    <w:rsid w:val="4A55216A"/>
    <w:rsid w:val="4BE7311F"/>
    <w:rsid w:val="4CF900E7"/>
    <w:rsid w:val="4DFF0E4A"/>
    <w:rsid w:val="4F6B7885"/>
    <w:rsid w:val="4FE0696A"/>
    <w:rsid w:val="4FE9D7B6"/>
    <w:rsid w:val="4FEF4CE1"/>
    <w:rsid w:val="4FEF7B61"/>
    <w:rsid w:val="50C54A26"/>
    <w:rsid w:val="51A61200"/>
    <w:rsid w:val="5215D8EE"/>
    <w:rsid w:val="539B6FDD"/>
    <w:rsid w:val="53F76722"/>
    <w:rsid w:val="53FAAE5C"/>
    <w:rsid w:val="547A7A76"/>
    <w:rsid w:val="55673508"/>
    <w:rsid w:val="556EE2F9"/>
    <w:rsid w:val="55EBA829"/>
    <w:rsid w:val="561E3959"/>
    <w:rsid w:val="56D770F9"/>
    <w:rsid w:val="57551296"/>
    <w:rsid w:val="57ADE45F"/>
    <w:rsid w:val="57C7EBB3"/>
    <w:rsid w:val="57DEC2AD"/>
    <w:rsid w:val="57E6DD66"/>
    <w:rsid w:val="57F325DA"/>
    <w:rsid w:val="57FB8B02"/>
    <w:rsid w:val="57FE1EE5"/>
    <w:rsid w:val="57FF0D59"/>
    <w:rsid w:val="57FF1E51"/>
    <w:rsid w:val="57FF2608"/>
    <w:rsid w:val="57FFF1B3"/>
    <w:rsid w:val="58163776"/>
    <w:rsid w:val="586BE32F"/>
    <w:rsid w:val="59595A6F"/>
    <w:rsid w:val="599330CA"/>
    <w:rsid w:val="59B45D58"/>
    <w:rsid w:val="59D3726C"/>
    <w:rsid w:val="59E62DE9"/>
    <w:rsid w:val="59FF85DF"/>
    <w:rsid w:val="59FF94D5"/>
    <w:rsid w:val="5A798336"/>
    <w:rsid w:val="5B158AF5"/>
    <w:rsid w:val="5B7BFF31"/>
    <w:rsid w:val="5BAF0143"/>
    <w:rsid w:val="5BDA3182"/>
    <w:rsid w:val="5BDFF5C8"/>
    <w:rsid w:val="5BFBD0A1"/>
    <w:rsid w:val="5BFF10BE"/>
    <w:rsid w:val="5CFFA4BB"/>
    <w:rsid w:val="5D0000B0"/>
    <w:rsid w:val="5DDFBCCD"/>
    <w:rsid w:val="5DF70099"/>
    <w:rsid w:val="5DFEABD1"/>
    <w:rsid w:val="5E5622D4"/>
    <w:rsid w:val="5EFBFB8A"/>
    <w:rsid w:val="5F4EBDDD"/>
    <w:rsid w:val="5F7F3D7D"/>
    <w:rsid w:val="5FBCAD33"/>
    <w:rsid w:val="5FBEFE1A"/>
    <w:rsid w:val="5FCB05D6"/>
    <w:rsid w:val="5FCF19C3"/>
    <w:rsid w:val="5FDCDEFA"/>
    <w:rsid w:val="5FDD8502"/>
    <w:rsid w:val="5FDE6A7C"/>
    <w:rsid w:val="5FFE3860"/>
    <w:rsid w:val="5FFF35F8"/>
    <w:rsid w:val="5FFF4947"/>
    <w:rsid w:val="60D5009F"/>
    <w:rsid w:val="62FCCD3D"/>
    <w:rsid w:val="64617795"/>
    <w:rsid w:val="64C91E56"/>
    <w:rsid w:val="65174716"/>
    <w:rsid w:val="65FA38F0"/>
    <w:rsid w:val="660721C9"/>
    <w:rsid w:val="661E6C75"/>
    <w:rsid w:val="675B51FB"/>
    <w:rsid w:val="675B98AB"/>
    <w:rsid w:val="6772AC4E"/>
    <w:rsid w:val="677BB149"/>
    <w:rsid w:val="67845964"/>
    <w:rsid w:val="67EF6CB7"/>
    <w:rsid w:val="67F75FF5"/>
    <w:rsid w:val="681D4831"/>
    <w:rsid w:val="68760770"/>
    <w:rsid w:val="68F6A4F6"/>
    <w:rsid w:val="692E4B19"/>
    <w:rsid w:val="69513EF7"/>
    <w:rsid w:val="6AD300AA"/>
    <w:rsid w:val="6AFFF86B"/>
    <w:rsid w:val="6B1E24AB"/>
    <w:rsid w:val="6BDFF67B"/>
    <w:rsid w:val="6BF3256F"/>
    <w:rsid w:val="6C72CD87"/>
    <w:rsid w:val="6CE7018A"/>
    <w:rsid w:val="6D5850A5"/>
    <w:rsid w:val="6DD77CE4"/>
    <w:rsid w:val="6DF9B657"/>
    <w:rsid w:val="6E1932F3"/>
    <w:rsid w:val="6E3E3F2D"/>
    <w:rsid w:val="6E7F0996"/>
    <w:rsid w:val="6E9DAFE3"/>
    <w:rsid w:val="6EBB19CF"/>
    <w:rsid w:val="6EF23EF0"/>
    <w:rsid w:val="6F7AC3BF"/>
    <w:rsid w:val="6F7B5A75"/>
    <w:rsid w:val="6F7FE920"/>
    <w:rsid w:val="6FBCC786"/>
    <w:rsid w:val="6FC5BB63"/>
    <w:rsid w:val="6FE37A2C"/>
    <w:rsid w:val="6FECD4EA"/>
    <w:rsid w:val="6FEEFC90"/>
    <w:rsid w:val="6FEFCDB6"/>
    <w:rsid w:val="6FFB55ED"/>
    <w:rsid w:val="6FFB8A89"/>
    <w:rsid w:val="6FFC2C2C"/>
    <w:rsid w:val="6FFE9024"/>
    <w:rsid w:val="6FFEBBAF"/>
    <w:rsid w:val="6FFFB2B0"/>
    <w:rsid w:val="715B2F02"/>
    <w:rsid w:val="717B0A3E"/>
    <w:rsid w:val="717C64BF"/>
    <w:rsid w:val="72492390"/>
    <w:rsid w:val="72EF2A61"/>
    <w:rsid w:val="7361E995"/>
    <w:rsid w:val="737F46FA"/>
    <w:rsid w:val="73AFAE96"/>
    <w:rsid w:val="7409326A"/>
    <w:rsid w:val="75555E0F"/>
    <w:rsid w:val="7563778E"/>
    <w:rsid w:val="7569F74E"/>
    <w:rsid w:val="757F08EA"/>
    <w:rsid w:val="75BFAC01"/>
    <w:rsid w:val="75DAA688"/>
    <w:rsid w:val="75DBF316"/>
    <w:rsid w:val="75FB2E0A"/>
    <w:rsid w:val="75FF7A6C"/>
    <w:rsid w:val="766F312C"/>
    <w:rsid w:val="76A548F2"/>
    <w:rsid w:val="76F507BA"/>
    <w:rsid w:val="76FFA411"/>
    <w:rsid w:val="7702C47B"/>
    <w:rsid w:val="771D50C7"/>
    <w:rsid w:val="771EEEFA"/>
    <w:rsid w:val="7765772E"/>
    <w:rsid w:val="77867685"/>
    <w:rsid w:val="77AF9395"/>
    <w:rsid w:val="77B6D1F1"/>
    <w:rsid w:val="77BD3ACF"/>
    <w:rsid w:val="77DE43A9"/>
    <w:rsid w:val="77E5BFD9"/>
    <w:rsid w:val="77EA4585"/>
    <w:rsid w:val="77F7F199"/>
    <w:rsid w:val="781F36B6"/>
    <w:rsid w:val="78FF1B48"/>
    <w:rsid w:val="78FF3A33"/>
    <w:rsid w:val="790627AD"/>
    <w:rsid w:val="797F009D"/>
    <w:rsid w:val="797FC07B"/>
    <w:rsid w:val="798FBEB4"/>
    <w:rsid w:val="79C45862"/>
    <w:rsid w:val="79DA1F85"/>
    <w:rsid w:val="7A656E5D"/>
    <w:rsid w:val="7ABEB542"/>
    <w:rsid w:val="7ADC59FA"/>
    <w:rsid w:val="7ADF155B"/>
    <w:rsid w:val="7AFF015F"/>
    <w:rsid w:val="7AFF93C0"/>
    <w:rsid w:val="7B3F538D"/>
    <w:rsid w:val="7B76C63E"/>
    <w:rsid w:val="7B7FB243"/>
    <w:rsid w:val="7B8EBC5C"/>
    <w:rsid w:val="7B9FA442"/>
    <w:rsid w:val="7BBB8041"/>
    <w:rsid w:val="7BCCE554"/>
    <w:rsid w:val="7BDF50EF"/>
    <w:rsid w:val="7BF80EEF"/>
    <w:rsid w:val="7C16FD15"/>
    <w:rsid w:val="7CD68C36"/>
    <w:rsid w:val="7CFBE1F4"/>
    <w:rsid w:val="7D3FDDFA"/>
    <w:rsid w:val="7D5C5DCD"/>
    <w:rsid w:val="7D5FBBE4"/>
    <w:rsid w:val="7D72AC33"/>
    <w:rsid w:val="7D7FEA67"/>
    <w:rsid w:val="7DB395F2"/>
    <w:rsid w:val="7DBDE31C"/>
    <w:rsid w:val="7DBF8A0C"/>
    <w:rsid w:val="7DDD794F"/>
    <w:rsid w:val="7DE70E3F"/>
    <w:rsid w:val="7DFCA2CD"/>
    <w:rsid w:val="7DFE20EB"/>
    <w:rsid w:val="7DFFA0A0"/>
    <w:rsid w:val="7DFFD224"/>
    <w:rsid w:val="7E13BB63"/>
    <w:rsid w:val="7E7BEEB7"/>
    <w:rsid w:val="7E8FA3B2"/>
    <w:rsid w:val="7EBB25D7"/>
    <w:rsid w:val="7ED304D0"/>
    <w:rsid w:val="7EFB0BF6"/>
    <w:rsid w:val="7EFB3DF4"/>
    <w:rsid w:val="7F1E9DBE"/>
    <w:rsid w:val="7F1FA01D"/>
    <w:rsid w:val="7F27EB4E"/>
    <w:rsid w:val="7F2D4BE6"/>
    <w:rsid w:val="7F623D8C"/>
    <w:rsid w:val="7F776F5C"/>
    <w:rsid w:val="7F7C5678"/>
    <w:rsid w:val="7F7F10ED"/>
    <w:rsid w:val="7F7FF3BE"/>
    <w:rsid w:val="7F9F105B"/>
    <w:rsid w:val="7FA90759"/>
    <w:rsid w:val="7FB2AC56"/>
    <w:rsid w:val="7FBFE555"/>
    <w:rsid w:val="7FD6EA0E"/>
    <w:rsid w:val="7FD94B11"/>
    <w:rsid w:val="7FDC014B"/>
    <w:rsid w:val="7FDE192B"/>
    <w:rsid w:val="7FEEDAD3"/>
    <w:rsid w:val="7FEF638E"/>
    <w:rsid w:val="7FF24C48"/>
    <w:rsid w:val="7FF3AFB6"/>
    <w:rsid w:val="7FF72E24"/>
    <w:rsid w:val="7FFB953E"/>
    <w:rsid w:val="7FFBAAAF"/>
    <w:rsid w:val="7FFC0A38"/>
    <w:rsid w:val="7FFD38AB"/>
    <w:rsid w:val="7FFDE83D"/>
    <w:rsid w:val="7FFE4B6E"/>
    <w:rsid w:val="7FFE4E91"/>
    <w:rsid w:val="7FFEBB4F"/>
    <w:rsid w:val="87FFE0B1"/>
    <w:rsid w:val="8BFFC856"/>
    <w:rsid w:val="8CFD3290"/>
    <w:rsid w:val="8FFEF411"/>
    <w:rsid w:val="8FFF651A"/>
    <w:rsid w:val="95378FC8"/>
    <w:rsid w:val="95F745E4"/>
    <w:rsid w:val="9767375C"/>
    <w:rsid w:val="9AD7A7D1"/>
    <w:rsid w:val="9B7CCCD4"/>
    <w:rsid w:val="9CFB77AF"/>
    <w:rsid w:val="9EF20060"/>
    <w:rsid w:val="9F9F5862"/>
    <w:rsid w:val="9FB96D4C"/>
    <w:rsid w:val="9FDA7BC4"/>
    <w:rsid w:val="9FDC9BB1"/>
    <w:rsid w:val="9FEF5784"/>
    <w:rsid w:val="9FF255D3"/>
    <w:rsid w:val="A3FEDE12"/>
    <w:rsid w:val="A3FF2A18"/>
    <w:rsid w:val="A3FFD1AC"/>
    <w:rsid w:val="A55B6C6A"/>
    <w:rsid w:val="A5F62003"/>
    <w:rsid w:val="A9BE88C2"/>
    <w:rsid w:val="AB7BA749"/>
    <w:rsid w:val="ABFF3298"/>
    <w:rsid w:val="AD4FA5ED"/>
    <w:rsid w:val="ADDF3FF4"/>
    <w:rsid w:val="AF7F9D76"/>
    <w:rsid w:val="AFFC5F41"/>
    <w:rsid w:val="B3944EED"/>
    <w:rsid w:val="B5AF8845"/>
    <w:rsid w:val="B631B2E8"/>
    <w:rsid w:val="B74B2636"/>
    <w:rsid w:val="B7ED5B72"/>
    <w:rsid w:val="B7F3BE45"/>
    <w:rsid w:val="B7F7E885"/>
    <w:rsid w:val="B7FD217D"/>
    <w:rsid w:val="B87E8177"/>
    <w:rsid w:val="B9BFCEB0"/>
    <w:rsid w:val="BA1E0C9F"/>
    <w:rsid w:val="BA6EB73B"/>
    <w:rsid w:val="BB5BF0BB"/>
    <w:rsid w:val="BD2A5EF2"/>
    <w:rsid w:val="BDA3978C"/>
    <w:rsid w:val="BDFF2A37"/>
    <w:rsid w:val="BE0EB65D"/>
    <w:rsid w:val="BE6DF320"/>
    <w:rsid w:val="BEA7F647"/>
    <w:rsid w:val="BEE721C3"/>
    <w:rsid w:val="BEFB61EF"/>
    <w:rsid w:val="BF3F50D0"/>
    <w:rsid w:val="BF7D6855"/>
    <w:rsid w:val="BF7D8E90"/>
    <w:rsid w:val="BF7FB0F1"/>
    <w:rsid w:val="BFB729D2"/>
    <w:rsid w:val="BFD7A70A"/>
    <w:rsid w:val="BFE59083"/>
    <w:rsid w:val="BFEFEF97"/>
    <w:rsid w:val="BFF2CD88"/>
    <w:rsid w:val="BFF783F6"/>
    <w:rsid w:val="BFF8FF53"/>
    <w:rsid w:val="BFFBFC2C"/>
    <w:rsid w:val="BFFE98BD"/>
    <w:rsid w:val="BFFF7E92"/>
    <w:rsid w:val="C9B778E8"/>
    <w:rsid w:val="CABF9067"/>
    <w:rsid w:val="CBDEE07A"/>
    <w:rsid w:val="CCBE42D1"/>
    <w:rsid w:val="CD6F9CEA"/>
    <w:rsid w:val="CDF7C5FE"/>
    <w:rsid w:val="CF1DF7FC"/>
    <w:rsid w:val="CF3D88DD"/>
    <w:rsid w:val="CFBF687F"/>
    <w:rsid w:val="CFEB394B"/>
    <w:rsid w:val="CFF4C38A"/>
    <w:rsid w:val="D2EE9096"/>
    <w:rsid w:val="D37C3CB9"/>
    <w:rsid w:val="D3EE083B"/>
    <w:rsid w:val="D57B1C89"/>
    <w:rsid w:val="D76806FD"/>
    <w:rsid w:val="D7CFCF64"/>
    <w:rsid w:val="D7DB9DC8"/>
    <w:rsid w:val="D7FB3419"/>
    <w:rsid w:val="D7FFFAE1"/>
    <w:rsid w:val="D93DE8E6"/>
    <w:rsid w:val="D97F6EFC"/>
    <w:rsid w:val="D9DB27A5"/>
    <w:rsid w:val="DB9DD64E"/>
    <w:rsid w:val="DBDCC029"/>
    <w:rsid w:val="DCEBC1F1"/>
    <w:rsid w:val="DD7F1E9D"/>
    <w:rsid w:val="DDBD00D4"/>
    <w:rsid w:val="DDBD9B1A"/>
    <w:rsid w:val="DE5BDCA9"/>
    <w:rsid w:val="DEBF3054"/>
    <w:rsid w:val="DEF7CDBF"/>
    <w:rsid w:val="DF7D1604"/>
    <w:rsid w:val="DFAC7EC1"/>
    <w:rsid w:val="DFB4875F"/>
    <w:rsid w:val="DFB71CDC"/>
    <w:rsid w:val="DFBF4884"/>
    <w:rsid w:val="DFCB4943"/>
    <w:rsid w:val="DFD80766"/>
    <w:rsid w:val="DFDF1A6F"/>
    <w:rsid w:val="DFDFC920"/>
    <w:rsid w:val="DFEB2DD4"/>
    <w:rsid w:val="DFF78A7F"/>
    <w:rsid w:val="E1772D81"/>
    <w:rsid w:val="E1CBC1F8"/>
    <w:rsid w:val="E3ABF7DF"/>
    <w:rsid w:val="E3BF41A0"/>
    <w:rsid w:val="E46B9202"/>
    <w:rsid w:val="E49BF46C"/>
    <w:rsid w:val="E5F2CB27"/>
    <w:rsid w:val="E77B6567"/>
    <w:rsid w:val="E7976457"/>
    <w:rsid w:val="E7D6154E"/>
    <w:rsid w:val="E97F413B"/>
    <w:rsid w:val="EB6F44F7"/>
    <w:rsid w:val="EB7BF672"/>
    <w:rsid w:val="EBDC4D35"/>
    <w:rsid w:val="EBFFF865"/>
    <w:rsid w:val="EC6D60F5"/>
    <w:rsid w:val="EC7DA204"/>
    <w:rsid w:val="EDEEA67B"/>
    <w:rsid w:val="EDEF3F7C"/>
    <w:rsid w:val="EE9BAC96"/>
    <w:rsid w:val="EEB7953D"/>
    <w:rsid w:val="EEDD82C9"/>
    <w:rsid w:val="EEFFB9C6"/>
    <w:rsid w:val="EF7F5F86"/>
    <w:rsid w:val="EF7FDA92"/>
    <w:rsid w:val="EF9E08D7"/>
    <w:rsid w:val="EFD1D7CF"/>
    <w:rsid w:val="EFE5EAA0"/>
    <w:rsid w:val="EFE7FFCC"/>
    <w:rsid w:val="EFEA1B7E"/>
    <w:rsid w:val="EFEF6297"/>
    <w:rsid w:val="EFFBA34E"/>
    <w:rsid w:val="EFFEF537"/>
    <w:rsid w:val="F0FDE9FC"/>
    <w:rsid w:val="F3B6DDDB"/>
    <w:rsid w:val="F3FD89F7"/>
    <w:rsid w:val="F4799EBA"/>
    <w:rsid w:val="F5C25387"/>
    <w:rsid w:val="F5F0A347"/>
    <w:rsid w:val="F5F8DC0D"/>
    <w:rsid w:val="F5FE7064"/>
    <w:rsid w:val="F6DDA33C"/>
    <w:rsid w:val="F6EBDD01"/>
    <w:rsid w:val="F6F73CA3"/>
    <w:rsid w:val="F6FF5B2C"/>
    <w:rsid w:val="F7758902"/>
    <w:rsid w:val="F7796B14"/>
    <w:rsid w:val="F77C0B5B"/>
    <w:rsid w:val="F7BF832C"/>
    <w:rsid w:val="F7EEC818"/>
    <w:rsid w:val="F7EFDFB5"/>
    <w:rsid w:val="F7F9572A"/>
    <w:rsid w:val="F7FB30AA"/>
    <w:rsid w:val="F7FD5579"/>
    <w:rsid w:val="F7FFBFFE"/>
    <w:rsid w:val="F9072985"/>
    <w:rsid w:val="F95F44F7"/>
    <w:rsid w:val="F97ECCEF"/>
    <w:rsid w:val="FA7F0193"/>
    <w:rsid w:val="FA7FEC6F"/>
    <w:rsid w:val="FACA9DD6"/>
    <w:rsid w:val="FAFFB16A"/>
    <w:rsid w:val="FB3DFA12"/>
    <w:rsid w:val="FB5D5B6B"/>
    <w:rsid w:val="FB7F535F"/>
    <w:rsid w:val="FB7FF320"/>
    <w:rsid w:val="FB9BFD0E"/>
    <w:rsid w:val="FBA5372A"/>
    <w:rsid w:val="FBDBC769"/>
    <w:rsid w:val="FBDF1556"/>
    <w:rsid w:val="FBF79A2F"/>
    <w:rsid w:val="FBFAD63B"/>
    <w:rsid w:val="FBFD7DA9"/>
    <w:rsid w:val="FC5DAD22"/>
    <w:rsid w:val="FCE675DB"/>
    <w:rsid w:val="FCED8CC0"/>
    <w:rsid w:val="FCF67C59"/>
    <w:rsid w:val="FCFD7D84"/>
    <w:rsid w:val="FD65F106"/>
    <w:rsid w:val="FD6CB825"/>
    <w:rsid w:val="FD6E93E1"/>
    <w:rsid w:val="FD6FB688"/>
    <w:rsid w:val="FD77EDB0"/>
    <w:rsid w:val="FD7F4E52"/>
    <w:rsid w:val="FDB21EE3"/>
    <w:rsid w:val="FDBA5092"/>
    <w:rsid w:val="FDBB6E22"/>
    <w:rsid w:val="FDE874DE"/>
    <w:rsid w:val="FDEFB387"/>
    <w:rsid w:val="FDF65CE1"/>
    <w:rsid w:val="FDF9E321"/>
    <w:rsid w:val="FDFCD655"/>
    <w:rsid w:val="FDFEE5FA"/>
    <w:rsid w:val="FDFF687D"/>
    <w:rsid w:val="FDFFE022"/>
    <w:rsid w:val="FE5E0CCE"/>
    <w:rsid w:val="FE7A3060"/>
    <w:rsid w:val="FEAC7C84"/>
    <w:rsid w:val="FEEBB167"/>
    <w:rsid w:val="FEF66F1D"/>
    <w:rsid w:val="FEF71542"/>
    <w:rsid w:val="FEF7DE70"/>
    <w:rsid w:val="FEFF26C3"/>
    <w:rsid w:val="FEFF5EF2"/>
    <w:rsid w:val="FEFFE926"/>
    <w:rsid w:val="FF3F356E"/>
    <w:rsid w:val="FF635104"/>
    <w:rsid w:val="FF734D11"/>
    <w:rsid w:val="FF7FABD0"/>
    <w:rsid w:val="FF7FFFEF"/>
    <w:rsid w:val="FF86CD69"/>
    <w:rsid w:val="FF87766C"/>
    <w:rsid w:val="FF97B604"/>
    <w:rsid w:val="FF990718"/>
    <w:rsid w:val="FFAE5789"/>
    <w:rsid w:val="FFBDFCBD"/>
    <w:rsid w:val="FFBE4F0D"/>
    <w:rsid w:val="FFC6A4B5"/>
    <w:rsid w:val="FFD64AD9"/>
    <w:rsid w:val="FFD7DC7A"/>
    <w:rsid w:val="FFDAD67D"/>
    <w:rsid w:val="FFDBFB8B"/>
    <w:rsid w:val="FFDD7CDE"/>
    <w:rsid w:val="FFEB3FD9"/>
    <w:rsid w:val="FFEFE035"/>
    <w:rsid w:val="FFF56927"/>
    <w:rsid w:val="FFF7CB86"/>
    <w:rsid w:val="FFF9F34F"/>
    <w:rsid w:val="FFFA9D85"/>
    <w:rsid w:val="FFFD327A"/>
    <w:rsid w:val="FFFD5D91"/>
    <w:rsid w:val="FFFDDA2F"/>
    <w:rsid w:val="FFFE5B12"/>
    <w:rsid w:val="FFFEE5EF"/>
    <w:rsid w:val="FFFF4C76"/>
    <w:rsid w:val="FFFF6A95"/>
    <w:rsid w:val="FFFF811E"/>
    <w:rsid w:val="FFFF9563"/>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iPriority="0" w:semiHidden="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8">
    <w:name w:val="Default Paragraph Font"/>
    <w:unhideWhenUsed/>
    <w:qFormat/>
    <w:uiPriority w:val="1"/>
  </w:style>
  <w:style w:type="table" w:default="1" w:styleId="11">
    <w:name w:val="Normal Table"/>
    <w:unhideWhenUsed/>
    <w:qFormat/>
    <w:uiPriority w:val="99"/>
    <w:tblPr>
      <w:tblStyle w:val="11"/>
      <w:tblLayout w:type="fixed"/>
      <w:tblCellMar>
        <w:top w:w="0" w:type="dxa"/>
        <w:left w:w="108" w:type="dxa"/>
        <w:bottom w:w="0" w:type="dxa"/>
        <w:right w:w="108" w:type="dxa"/>
      </w:tblCellMar>
    </w:tblPr>
    <w:tcPr>
      <w:textDirection w:val="lrTb"/>
    </w:tcPr>
  </w:style>
  <w:style w:type="paragraph" w:styleId="2">
    <w:name w:val="annotation subject"/>
    <w:basedOn w:val="3"/>
    <w:next w:val="3"/>
    <w:link w:val="20"/>
    <w:unhideWhenUsed/>
    <w:qFormat/>
    <w:uiPriority w:val="0"/>
    <w:rPr>
      <w:b/>
      <w:bCs/>
    </w:rPr>
  </w:style>
  <w:style w:type="paragraph" w:styleId="3">
    <w:name w:val="annotation text"/>
    <w:basedOn w:val="1"/>
    <w:link w:val="19"/>
    <w:unhideWhenUsed/>
    <w:qFormat/>
    <w:uiPriority w:val="0"/>
    <w:pPr>
      <w:jc w:val="left"/>
    </w:pPr>
  </w:style>
  <w:style w:type="paragraph" w:styleId="4">
    <w:name w:val="Balloon Text"/>
    <w:basedOn w:val="1"/>
    <w:link w:val="17"/>
    <w:qFormat/>
    <w:uiPriority w:val="0"/>
    <w:rPr>
      <w:sz w:val="18"/>
      <w:szCs w:val="18"/>
    </w:rPr>
  </w:style>
  <w:style w:type="paragraph" w:styleId="5">
    <w:name w:val="footer"/>
    <w:basedOn w:val="1"/>
    <w:link w:val="15"/>
    <w:qFormat/>
    <w:uiPriority w:val="0"/>
    <w:pPr>
      <w:tabs>
        <w:tab w:val="center" w:pos="4153"/>
        <w:tab w:val="right" w:pos="8306"/>
      </w:tabs>
      <w:snapToGrid w:val="0"/>
      <w:jc w:val="left"/>
    </w:pPr>
    <w:rPr>
      <w:sz w:val="18"/>
      <w:szCs w:val="18"/>
    </w:rPr>
  </w:style>
  <w:style w:type="paragraph" w:styleId="6">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7">
    <w:name w:val="footnote text"/>
    <w:basedOn w:val="1"/>
    <w:unhideWhenUsed/>
    <w:qFormat/>
    <w:uiPriority w:val="0"/>
    <w:pPr>
      <w:snapToGrid w:val="0"/>
      <w:jc w:val="left"/>
    </w:pPr>
    <w:rPr>
      <w:sz w:val="18"/>
    </w:rPr>
  </w:style>
  <w:style w:type="character" w:styleId="9">
    <w:name w:val="annotation reference"/>
    <w:basedOn w:val="8"/>
    <w:unhideWhenUsed/>
    <w:qFormat/>
    <w:uiPriority w:val="0"/>
    <w:rPr>
      <w:sz w:val="21"/>
      <w:szCs w:val="21"/>
    </w:rPr>
  </w:style>
  <w:style w:type="character" w:styleId="10">
    <w:name w:val="footnote reference"/>
    <w:basedOn w:val="8"/>
    <w:unhideWhenUsed/>
    <w:qFormat/>
    <w:uiPriority w:val="0"/>
    <w:rPr>
      <w:vertAlign w:val="superscript"/>
    </w:rPr>
  </w:style>
  <w:style w:type="paragraph" w:customStyle="1" w:styleId="12">
    <w:name w:val="修订1"/>
    <w:hidden/>
    <w:semiHidden/>
    <w:qFormat/>
    <w:uiPriority w:val="99"/>
    <w:rPr>
      <w:rFonts w:ascii="Times New Roman" w:hAnsi="Times New Roman" w:eastAsia="仿宋_GB2312" w:cs="Times New Roman"/>
      <w:kern w:val="2"/>
      <w:sz w:val="30"/>
      <w:szCs w:val="24"/>
      <w:lang w:val="en-US" w:eastAsia="zh-CN" w:bidi="ar-SA"/>
    </w:rPr>
  </w:style>
  <w:style w:type="paragraph" w:customStyle="1" w:styleId="13">
    <w:name w:val="列表段落1"/>
    <w:basedOn w:val="1"/>
    <w:qFormat/>
    <w:uiPriority w:val="99"/>
    <w:pPr>
      <w:ind w:firstLine="420" w:firstLineChars="200"/>
    </w:pPr>
  </w:style>
  <w:style w:type="paragraph" w:customStyle="1" w:styleId="14">
    <w:name w:val="Revision"/>
    <w:hidden/>
    <w:semiHidden/>
    <w:qFormat/>
    <w:uiPriority w:val="99"/>
    <w:rPr>
      <w:rFonts w:ascii="Times New Roman" w:hAnsi="Times New Roman" w:eastAsia="仿宋_GB2312" w:cs="Times New Roman"/>
      <w:kern w:val="2"/>
      <w:sz w:val="30"/>
      <w:szCs w:val="24"/>
      <w:lang w:val="en-US" w:eastAsia="zh-CN" w:bidi="ar-SA"/>
    </w:rPr>
  </w:style>
  <w:style w:type="character" w:customStyle="1" w:styleId="15">
    <w:name w:val="页脚 字符"/>
    <w:link w:val="5"/>
    <w:qFormat/>
    <w:uiPriority w:val="0"/>
    <w:rPr>
      <w:rFonts w:eastAsia="仿宋_GB2312"/>
      <w:kern w:val="2"/>
      <w:sz w:val="18"/>
      <w:szCs w:val="18"/>
    </w:rPr>
  </w:style>
  <w:style w:type="character" w:customStyle="1" w:styleId="16">
    <w:name w:val="页眉 字符"/>
    <w:link w:val="6"/>
    <w:qFormat/>
    <w:uiPriority w:val="0"/>
    <w:rPr>
      <w:rFonts w:eastAsia="仿宋_GB2312"/>
      <w:kern w:val="2"/>
      <w:sz w:val="18"/>
      <w:szCs w:val="18"/>
    </w:rPr>
  </w:style>
  <w:style w:type="character" w:customStyle="1" w:styleId="17">
    <w:name w:val="批注框文本 字符"/>
    <w:link w:val="4"/>
    <w:qFormat/>
    <w:uiPriority w:val="0"/>
    <w:rPr>
      <w:rFonts w:eastAsia="仿宋_GB2312"/>
      <w:kern w:val="2"/>
      <w:sz w:val="18"/>
      <w:szCs w:val="18"/>
    </w:rPr>
  </w:style>
  <w:style w:type="character" w:customStyle="1" w:styleId="18">
    <w:name w:val="CharAttribute3"/>
    <w:qFormat/>
    <w:uiPriority w:val="0"/>
    <w:rPr>
      <w:rFonts w:ascii="仿宋_GB2312" w:eastAsia="仿宋_GB2312"/>
      <w:sz w:val="32"/>
    </w:rPr>
  </w:style>
  <w:style w:type="character" w:customStyle="1" w:styleId="19">
    <w:name w:val="批注文字 字符"/>
    <w:basedOn w:val="8"/>
    <w:link w:val="3"/>
    <w:semiHidden/>
    <w:qFormat/>
    <w:uiPriority w:val="0"/>
    <w:rPr>
      <w:rFonts w:eastAsia="仿宋_GB2312"/>
      <w:kern w:val="2"/>
      <w:sz w:val="30"/>
      <w:szCs w:val="24"/>
    </w:rPr>
  </w:style>
  <w:style w:type="character" w:customStyle="1" w:styleId="20">
    <w:name w:val="批注主题 字符"/>
    <w:basedOn w:val="19"/>
    <w:link w:val="2"/>
    <w:semiHidden/>
    <w:qFormat/>
    <w:uiPriority w:val="0"/>
    <w:rPr>
      <w:rFonts w:eastAsia="仿宋_GB2312"/>
      <w:b/>
      <w:bCs/>
      <w:kern w:val="2"/>
      <w:sz w:val="30"/>
      <w:szCs w:val="24"/>
    </w:rPr>
  </w:style>
</w:styles>
</file>

<file path=word/_rels/document.xml.rels><?xml version="1.0" encoding="UTF-8" standalone="yes"?>
<Relationships xmlns="http://schemas.openxmlformats.org/package/2006/relationships"><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12</Pages>
  <Words>972</Words>
  <Characters>5543</Characters>
  <Lines>46</Lines>
  <Paragraphs>13</Paragraphs>
  <ScaleCrop>false</ScaleCrop>
  <LinksUpToDate>false</LinksUpToDate>
  <CharactersWithSpaces>0</CharactersWithSpaces>
  <Application>WPS Office 专业版_9.1.0.4798_{F1E327BC-269C-435d-A152-05C5408002CA}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2023-03-01T12:38:00Z</dcterms:created>
  <dc:creator>lhn</dc:creator>
  <cp:lastModifiedBy>诸葛智慧</cp:lastModifiedBy>
  <cp:lastPrinted>2023-05-12T03:36:00Z</cp:lastPrinted>
  <dcterms:modified xsi:type="dcterms:W3CDTF">2023-06-08T09:56:26Z</dcterms:modified>
  <dc:title>财政支出绩效评价报告</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y fmtid="{D5CDD505-2E9C-101B-9397-08002B2CF9AE}" pid="3" name="ICV">
    <vt:lpwstr>18BA18EDC9E5163FAE8A53644412D553_43</vt:lpwstr>
  </property>
</Properties>
</file>