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sz w:val="52"/>
          <w:szCs w:val="52"/>
        </w:rPr>
      </w:pPr>
      <w:bookmarkStart w:id="3" w:name="_GoBack"/>
      <w:bookmarkEnd w:id="3"/>
    </w:p>
    <w:p>
      <w:pPr>
        <w:jc w:val="center"/>
        <w:rPr>
          <w:rFonts w:ascii="方正小标宋简体" w:hAnsi="方正小标宋简体" w:eastAsia="方正小标宋简体"/>
          <w:sz w:val="52"/>
          <w:szCs w:val="52"/>
        </w:rPr>
      </w:pPr>
      <w:r>
        <w:rPr>
          <w:rFonts w:ascii="方正小标宋简体" w:hAnsi="方正小标宋简体" w:eastAsia="方正小标宋简体"/>
          <w:sz w:val="52"/>
          <w:szCs w:val="52"/>
        </w:rPr>
        <w:t>市委社会工委市民政局</w:t>
      </w:r>
      <w:r>
        <w:rPr>
          <w:rFonts w:hint="eastAsia" w:ascii="方正小标宋简体" w:hAnsi="方正小标宋简体" w:eastAsia="方正小标宋简体"/>
          <w:sz w:val="52"/>
          <w:szCs w:val="52"/>
        </w:rPr>
        <w:t>202</w:t>
      </w:r>
      <w:r>
        <w:rPr>
          <w:rFonts w:ascii="方正小标宋简体" w:hAnsi="方正小标宋简体" w:eastAsia="方正小标宋简体"/>
          <w:sz w:val="52"/>
          <w:szCs w:val="52"/>
        </w:rPr>
        <w:t>2</w:t>
      </w:r>
      <w:r>
        <w:rPr>
          <w:rFonts w:hint="eastAsia" w:ascii="方正小标宋简体" w:hAnsi="方正小标宋简体" w:eastAsia="方正小标宋简体"/>
          <w:sz w:val="52"/>
          <w:szCs w:val="52"/>
        </w:rPr>
        <w:t>年度部门</w:t>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整体绩效评价报告</w:t>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 xml:space="preserve"> </w:t>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 xml:space="preserve"> </w:t>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 xml:space="preserve"> </w:t>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 xml:space="preserve"> </w:t>
      </w:r>
    </w:p>
    <w:p>
      <w:pPr>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市委社会工委市民政局</w:t>
      </w:r>
    </w:p>
    <w:p>
      <w:pPr>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202</w:t>
      </w:r>
      <w:r>
        <w:rPr>
          <w:rFonts w:ascii="方正小标宋简体" w:hAnsi="方正小标宋简体" w:eastAsia="方正小标宋简体"/>
          <w:sz w:val="44"/>
          <w:szCs w:val="44"/>
        </w:rPr>
        <w:t>3</w:t>
      </w:r>
      <w:r>
        <w:rPr>
          <w:rFonts w:hint="eastAsia" w:ascii="方正小标宋简体" w:hAnsi="方正小标宋简体" w:eastAsia="方正小标宋简体"/>
          <w:sz w:val="44"/>
          <w:szCs w:val="44"/>
        </w:rPr>
        <w:t>年</w:t>
      </w:r>
      <w:r>
        <w:rPr>
          <w:rFonts w:ascii="方正小标宋简体" w:hAnsi="方正小标宋简体" w:eastAsia="方正小标宋简体"/>
          <w:sz w:val="44"/>
          <w:szCs w:val="44"/>
        </w:rPr>
        <w:t>5</w:t>
      </w:r>
      <w:r>
        <w:rPr>
          <w:rFonts w:hint="eastAsia" w:ascii="方正小标宋简体" w:hAnsi="方正小标宋简体" w:eastAsia="方正小标宋简体"/>
          <w:sz w:val="44"/>
          <w:szCs w:val="44"/>
        </w:rPr>
        <w:t>月</w:t>
      </w:r>
    </w:p>
    <w:p>
      <w:pPr>
        <w:widowControl/>
        <w:jc w:val="left"/>
        <w:rPr>
          <w:rFonts w:ascii="方正小标宋简体" w:hAnsi="方正小标宋简体" w:eastAsia="方正小标宋简体"/>
          <w:sz w:val="44"/>
          <w:szCs w:val="44"/>
        </w:rPr>
      </w:pPr>
      <w:r>
        <w:rPr>
          <w:rFonts w:ascii="方正小标宋简体" w:hAnsi="方正小标宋简体" w:eastAsia="方正小标宋简体"/>
          <w:sz w:val="44"/>
          <w:szCs w:val="44"/>
        </w:rPr>
        <w:br w:type="page"/>
      </w:r>
    </w:p>
    <w:p>
      <w:pPr>
        <w:shd w:val="clear" w:color="000000" w:fill="auto"/>
        <w:adjustRightInd w:val="0"/>
        <w:snapToGrid w:val="0"/>
        <w:spacing w:line="58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市委社会工委市民政局</w:t>
      </w:r>
    </w:p>
    <w:p>
      <w:pPr>
        <w:shd w:val="clear" w:color="000000" w:fill="auto"/>
        <w:adjustRightInd w:val="0"/>
        <w:snapToGrid w:val="0"/>
        <w:spacing w:line="58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ascii="方正小标宋简体" w:hAnsi="方正小标宋简体" w:eastAsia="方正小标宋简体" w:cs="方正小标宋简体"/>
          <w:bCs/>
          <w:sz w:val="44"/>
          <w:szCs w:val="44"/>
        </w:rPr>
        <w:t>2</w:t>
      </w:r>
      <w:r>
        <w:rPr>
          <w:rFonts w:hint="eastAsia" w:ascii="方正小标宋简体" w:hAnsi="方正小标宋简体" w:eastAsia="方正小标宋简体" w:cs="方正小标宋简体"/>
          <w:bCs/>
          <w:sz w:val="44"/>
          <w:szCs w:val="44"/>
        </w:rPr>
        <w:t>年度部门整体绩效评价报告</w:t>
      </w:r>
    </w:p>
    <w:p>
      <w:pPr>
        <w:jc w:val="center"/>
        <w:rPr>
          <w:rFonts w:ascii="Times New Roman" w:hAnsi="Times New Roman" w:cs="Times New Roman"/>
          <w:szCs w:val="30"/>
        </w:rPr>
      </w:pPr>
    </w:p>
    <w:p>
      <w:pPr>
        <w:pStyle w:val="2"/>
        <w:keepNext/>
        <w:keepLines/>
        <w:shd w:val="clear" w:color="010000" w:fill="auto"/>
        <w:spacing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一、部门概况</w:t>
      </w:r>
    </w:p>
    <w:p>
      <w:pPr>
        <w:pStyle w:val="3"/>
        <w:shd w:val="clear" w:color="010000" w:fill="auto"/>
        <w:ind w:firstLine="640"/>
        <w:rPr>
          <w:rFonts w:ascii="Times New Roman" w:hAnsi="Times New Roman" w:cs="Times New Roman"/>
        </w:rPr>
      </w:pPr>
      <w:r>
        <w:rPr>
          <w:rFonts w:ascii="Times New Roman" w:hAnsi="Times New Roman" w:cs="Times New Roman"/>
        </w:rPr>
        <w:t>（一）机构设置及职责工作任务情况</w:t>
      </w:r>
    </w:p>
    <w:p>
      <w:pPr>
        <w:pStyle w:val="4"/>
        <w:shd w:val="clear" w:color="010000" w:fill="auto"/>
        <w:spacing w:before="0" w:after="0" w:line="560" w:lineRule="exact"/>
        <w:ind w:firstLine="640" w:firstLineChars="200"/>
        <w:rPr>
          <w:rFonts w:ascii="Times New Roman" w:hAnsi="Times New Roman" w:cs="Times New Roman"/>
          <w:b w:val="0"/>
        </w:rPr>
      </w:pPr>
      <w:bookmarkStart w:id="0" w:name="_Toc72438576"/>
      <w:bookmarkStart w:id="1" w:name="_Toc72438997"/>
      <w:r>
        <w:rPr>
          <w:rFonts w:ascii="Times New Roman" w:hAnsi="Times New Roman" w:cs="Times New Roman"/>
          <w:b w:val="0"/>
        </w:rPr>
        <w:t>1.</w:t>
      </w:r>
      <w:bookmarkEnd w:id="0"/>
      <w:bookmarkEnd w:id="1"/>
      <w:r>
        <w:rPr>
          <w:rFonts w:ascii="Times New Roman" w:hAnsi="Times New Roman" w:cs="Times New Roman"/>
          <w:b w:val="0"/>
        </w:rPr>
        <w:t>部门职责及机构设置情况</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中共北京市委社会工作委员会（以下简称“市委社会工委”）是市委派出机构，北京市民政局（以下简称“市民政局”）是市政府组成部门。市委社会工委与市民政局合署办公</w:t>
      </w:r>
      <w:r>
        <w:rPr>
          <w:rFonts w:hint="eastAsia" w:ascii="Times New Roman" w:hAnsi="Times New Roman" w:cs="Times New Roman"/>
        </w:rPr>
        <w:t>，</w:t>
      </w:r>
      <w:r>
        <w:rPr>
          <w:rFonts w:ascii="Times New Roman" w:hAnsi="Times New Roman" w:cs="Times New Roman"/>
        </w:rPr>
        <w:t>贯彻落实党中央关于社会建设、民政工作的方针政策、决策部署和市委有关工作要求，在履行职责过程中坚持和加强党对社会建设、民政工作的集中统一领导。</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市委社会工委、市民政局的主要职责具体如下：</w:t>
      </w:r>
    </w:p>
    <w:p>
      <w:pPr>
        <w:shd w:val="clear" w:color="000000" w:fill="auto"/>
        <w:jc w:val="center"/>
        <w:rPr>
          <w:rFonts w:ascii="Times New Roman" w:hAnsi="Times New Roman" w:eastAsia="黑体" w:cs="Times New Roman"/>
          <w:color w:val="000000"/>
          <w:sz w:val="28"/>
          <w:szCs w:val="28"/>
        </w:rPr>
      </w:pPr>
      <w:r>
        <w:rPr>
          <w:rFonts w:ascii="Times New Roman" w:hAnsi="Times New Roman" w:eastAsia="黑体" w:cs="Times New Roman"/>
          <w:sz w:val="28"/>
          <w:szCs w:val="28"/>
        </w:rPr>
        <w:t>表1 市委社工委</w:t>
      </w:r>
      <w:r>
        <w:rPr>
          <w:rFonts w:ascii="Times New Roman" w:hAnsi="Times New Roman" w:eastAsia="黑体" w:cs="Times New Roman"/>
          <w:color w:val="000000"/>
          <w:sz w:val="28"/>
          <w:szCs w:val="28"/>
        </w:rPr>
        <w:t>主要职责</w:t>
      </w:r>
    </w:p>
    <w:tbl>
      <w:tblPr>
        <w:tblStyle w:val="11"/>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6" w:type="dxa"/>
            <w:vAlign w:val="center"/>
          </w:tcPr>
          <w:p>
            <w:pPr>
              <w:shd w:val="clear" w:color="000000" w:fill="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序号</w:t>
            </w:r>
          </w:p>
        </w:tc>
        <w:tc>
          <w:tcPr>
            <w:tcW w:w="8109" w:type="dxa"/>
            <w:vAlign w:val="center"/>
          </w:tcPr>
          <w:p>
            <w:pPr>
              <w:shd w:val="clear" w:color="000000" w:fill="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贯彻落实党中央关于社会建设工作的方针政策、决策部署和市委有关工作要求，研究提出工作意见并组织实施。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研究提出本市社会建设的总体规划、重要政策和方案，为市委宏观决策服务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宏观指导、统筹协调和督促检查本市社会建设重点任务的落实。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拟订本市社会管理体制改革和社会领域社会动员体制机制建设的规划和政策措施并组织实施。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负责研究推进本市街道管理体制改革工作。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协调指导各区、各有关单位开展社区党建工作；协调指导社会组织开展党建工作。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7</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协调指导本市社会工作人才队伍建设工作，拟订社会工作人才队伍建设的规划和政策措施并组织实施，建立健全以培养、评价、使用、激励为主要内容的制度和机制。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负责对各区社会建设工作进行指导和督促检查。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9</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完成市委交办的其他任务。</w:t>
            </w:r>
          </w:p>
        </w:tc>
      </w:tr>
    </w:tbl>
    <w:p>
      <w:pPr>
        <w:shd w:val="clear" w:color="000000" w:fill="auto"/>
        <w:jc w:val="center"/>
        <w:rPr>
          <w:rFonts w:ascii="Times New Roman" w:hAnsi="Times New Roman" w:eastAsia="黑体" w:cs="Times New Roman"/>
          <w:sz w:val="28"/>
          <w:szCs w:val="28"/>
        </w:rPr>
      </w:pPr>
    </w:p>
    <w:p>
      <w:pPr>
        <w:shd w:val="clear" w:color="000000" w:fill="auto"/>
        <w:jc w:val="center"/>
        <w:rPr>
          <w:rFonts w:ascii="Times New Roman" w:hAnsi="Times New Roman" w:eastAsia="黑体" w:cs="Times New Roman"/>
          <w:sz w:val="28"/>
          <w:szCs w:val="28"/>
        </w:rPr>
      </w:pPr>
      <w:r>
        <w:rPr>
          <w:rFonts w:ascii="Times New Roman" w:hAnsi="Times New Roman" w:eastAsia="黑体" w:cs="Times New Roman"/>
          <w:sz w:val="28"/>
          <w:szCs w:val="28"/>
        </w:rPr>
        <w:t>表2 市民政局主要职责</w:t>
      </w:r>
    </w:p>
    <w:tbl>
      <w:tblPr>
        <w:tblStyle w:val="11"/>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6" w:type="dxa"/>
            <w:vAlign w:val="center"/>
          </w:tcPr>
          <w:p>
            <w:pPr>
              <w:shd w:val="clear" w:color="000000" w:fill="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序号</w:t>
            </w:r>
          </w:p>
        </w:tc>
        <w:tc>
          <w:tcPr>
            <w:tcW w:w="8109" w:type="dxa"/>
            <w:vAlign w:val="center"/>
          </w:tcPr>
          <w:p>
            <w:pPr>
              <w:shd w:val="clear" w:color="000000" w:fill="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贯彻落实国家关于民政事业方面的法律法规、规章和政策，起草本市相关地方性法规草案、政府规章草案并组织实施。拟订民政事业中长期发展规划和政策并监督实施。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承担依法对本市社会团体、社会服务机构、基金会进行登记和监督管理责任。指导各区社会团体、社会服务机构的登记管理工作。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拟订本市社会福利事业发展规划、政策和标准；拟订社会福利机构管理办法和福利彩票销售管理办法。指导福利彩票销售及彩票公益金的使用管理。组织拟订促进慈善事业发展的政策，组织、指导社会捐助工作。组织拟订老年人、孤儿和残疾人等特殊困难群体的社会福利政策，指导相关权益保护工作。负责建设征地超转人员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负责统筹推进、督促指导、监督管理养老服务工作。拟订养老服务体系建设政策、法规草案、标准和规划并组织实施。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提出加强和改进城乡基层政权建设的建议。联系街道办事处工作，推动基层民主政治建设。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统筹推进本市城乡社区建设，拟订城乡社区建设的规划和政策措施并组织实施。拟订本市城乡基层群众自治建设具体办法并组织实施。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7</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组织拟订本市城乡社会救助规划、政策和标准。健全城乡社会救助体系，负责城乡居民最低生活保障、临时救助、城市生活无着的流浪乞讨人员救助工作。负责特困人员供养工作。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拟订本市对见义勇为人员的奖励和保护政策，负责组织实施见义勇为人员的奖励和保护工作。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9</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拟订本市婚姻管理、殡葬管理和儿童收养的政策，负责推进婚俗和殡葬改革，指导婚姻、殡葬、收养、救助服务机构管理工作。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10</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承担外地来京上访人员和非正常上访人员的接济服务管理工作。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11</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拟订本市行政区划管理政策。负责本市行政区域的设立、命名、变更和政府驻地迁移的审核工作。负责全市行政区域界线的管理工作。负责各区边界争议调处工作。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12</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负责本市社会工作人才登记管理和继续教育工作。负责本市志愿服务行政管理工作。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6" w:type="dxa"/>
            <w:vAlign w:val="center"/>
          </w:tcPr>
          <w:p>
            <w:pPr>
              <w:shd w:val="clear" w:color="000000" w:fill="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13</w:t>
            </w:r>
          </w:p>
        </w:tc>
        <w:tc>
          <w:tcPr>
            <w:tcW w:w="8109" w:type="dxa"/>
            <w:vAlign w:val="center"/>
          </w:tcPr>
          <w:p>
            <w:pPr>
              <w:shd w:val="clear" w:color="000000" w:fill="auto"/>
              <w:rPr>
                <w:rFonts w:ascii="Times New Roman" w:hAnsi="Times New Roman" w:eastAsia="宋体" w:cs="Times New Roman"/>
                <w:kern w:val="0"/>
                <w:sz w:val="21"/>
                <w:szCs w:val="21"/>
              </w:rPr>
            </w:pPr>
            <w:r>
              <w:rPr>
                <w:rFonts w:ascii="Times New Roman" w:hAnsi="Times New Roman" w:eastAsia="宋体" w:cs="Times New Roman"/>
                <w:color w:val="333333"/>
                <w:kern w:val="0"/>
                <w:sz w:val="21"/>
                <w:szCs w:val="21"/>
                <w:shd w:val="clear" w:color="auto" w:fill="FFFFFF"/>
              </w:rPr>
              <w:t>完成市委、市政府交办的其他任务。</w:t>
            </w:r>
          </w:p>
        </w:tc>
      </w:tr>
    </w:tbl>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内设31个职能处室，分别为办公室、研究室、政策法规处、规划建设处、行政审批处、社会建设综合协调处、基层政权和社区建设处、社区党建工作处、社会组织工作处、社会工作队伍建设处（志愿者和社会动员工作处）、社会福利管理处、养老工作处、儿童福利和保护处、慈善工作处（福利彩票管理处）、社会救助处、社会事务管理处、区划管理处、见义勇为权益保护处、标准与信息化处、宣传教育处、信访处、行政保卫处、计划财务处、审计处、组织处、人事处、机关党委、机关纪委（工委巡察工作办公室）、工会、团委、离退休干部处。</w:t>
      </w:r>
    </w:p>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下属15个预算单位，分别是北京市社会组织管理中心、北京市民政教育管理学院、北京市接受捐赠事务管理中心、北京市民政局征地后超转人员管理中心、北京市接济救助管理事务中心系统、北京市民政综合执法监察大队、北京市养老服务事务中心等。</w:t>
      </w:r>
    </w:p>
    <w:p>
      <w:pPr>
        <w:spacing w:line="560" w:lineRule="exact"/>
        <w:ind w:firstLine="640" w:firstLineChars="200"/>
        <w:rPr>
          <w:rFonts w:ascii="Times New Roman" w:hAnsi="Times New Roman" w:cs="Times New Roman"/>
        </w:rPr>
      </w:pPr>
      <w:r>
        <w:rPr>
          <w:rFonts w:ascii="Times New Roman" w:hAnsi="Times New Roman" w:cs="Times New Roman"/>
        </w:rPr>
        <w:t>2.年度工作任务</w:t>
      </w:r>
    </w:p>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制定了2022年北京市社会建设和民政工作要点，围绕不断健全完善养老服务体系、加强基本民生保障体系建设、持续优化基本社会服务供给，努力构建首都特色基层治理体系、全面加强党对社会建设和民政事业的领导，持续加强从严管党治党等方面，制定了年度工作计划，具体如下：</w:t>
      </w:r>
    </w:p>
    <w:p>
      <w:pPr>
        <w:shd w:val="clear" w:color="000000" w:fill="auto"/>
        <w:jc w:val="center"/>
        <w:rPr>
          <w:rFonts w:ascii="Times New Roman" w:hAnsi="Times New Roman" w:eastAsia="黑体" w:cs="Times New Roman"/>
          <w:sz w:val="28"/>
          <w:szCs w:val="28"/>
        </w:rPr>
      </w:pPr>
      <w:r>
        <w:rPr>
          <w:rFonts w:ascii="Times New Roman" w:hAnsi="Times New Roman" w:eastAsia="黑体" w:cs="Times New Roman"/>
          <w:sz w:val="28"/>
          <w:szCs w:val="28"/>
        </w:rPr>
        <w:t>表3  2022年重点工作安排</w:t>
      </w:r>
    </w:p>
    <w:tbl>
      <w:tblPr>
        <w:tblStyle w:val="11"/>
        <w:tblW w:w="8835" w:type="dxa"/>
        <w:tblInd w:w="0" w:type="dxa"/>
        <w:tblLayout w:type="fixed"/>
        <w:tblCellMar>
          <w:top w:w="0" w:type="dxa"/>
          <w:left w:w="108" w:type="dxa"/>
          <w:bottom w:w="0" w:type="dxa"/>
          <w:right w:w="108" w:type="dxa"/>
        </w:tblCellMar>
      </w:tblPr>
      <w:tblGrid>
        <w:gridCol w:w="1060"/>
        <w:gridCol w:w="3039"/>
        <w:gridCol w:w="4736"/>
      </w:tblGrid>
      <w:tr>
        <w:tblPrEx>
          <w:tblCellMar>
            <w:top w:w="0" w:type="dxa"/>
            <w:left w:w="108" w:type="dxa"/>
            <w:bottom w:w="0" w:type="dxa"/>
            <w:right w:w="108" w:type="dxa"/>
          </w:tblCellMar>
        </w:tblPrEx>
        <w:trPr>
          <w:trHeight w:val="449" w:hRule="atLeast"/>
          <w:tblHeader/>
        </w:trPr>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序号</w:t>
            </w:r>
          </w:p>
        </w:tc>
        <w:tc>
          <w:tcPr>
            <w:tcW w:w="3039" w:type="dxa"/>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工作任务</w:t>
            </w:r>
          </w:p>
        </w:tc>
        <w:tc>
          <w:tcPr>
            <w:tcW w:w="4736" w:type="dxa"/>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主要内容</w:t>
            </w:r>
          </w:p>
        </w:tc>
      </w:tr>
      <w:tr>
        <w:tblPrEx>
          <w:tblCellMar>
            <w:top w:w="0" w:type="dxa"/>
            <w:left w:w="108" w:type="dxa"/>
            <w:bottom w:w="0" w:type="dxa"/>
            <w:right w:w="108" w:type="dxa"/>
          </w:tblCellMar>
        </w:tblPrEx>
        <w:trPr>
          <w:trHeight w:val="20" w:hRule="atLeast"/>
        </w:trPr>
        <w:tc>
          <w:tcPr>
            <w:tcW w:w="1060"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w:t>
            </w:r>
          </w:p>
        </w:tc>
        <w:tc>
          <w:tcPr>
            <w:tcW w:w="3039" w:type="dxa"/>
            <w:tcBorders>
              <w:top w:val="nil"/>
              <w:left w:val="nil"/>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不断健全完善养老服务体系</w:t>
            </w:r>
          </w:p>
        </w:tc>
        <w:tc>
          <w:tcPr>
            <w:tcW w:w="4736" w:type="dxa"/>
            <w:tcBorders>
              <w:top w:val="nil"/>
              <w:left w:val="nil"/>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（1）持续完善养老服务政策体系。</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（2）稳步推进养老服务质量提升。</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（3）持续加强养老服务综合监管。</w:t>
            </w:r>
          </w:p>
        </w:tc>
      </w:tr>
      <w:tr>
        <w:tblPrEx>
          <w:tblCellMar>
            <w:top w:w="0" w:type="dxa"/>
            <w:left w:w="108" w:type="dxa"/>
            <w:bottom w:w="0" w:type="dxa"/>
            <w:right w:w="108" w:type="dxa"/>
          </w:tblCellMar>
        </w:tblPrEx>
        <w:trPr>
          <w:trHeight w:val="20" w:hRule="atLeast"/>
        </w:trPr>
        <w:tc>
          <w:tcPr>
            <w:tcW w:w="1060"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w:t>
            </w:r>
          </w:p>
        </w:tc>
        <w:tc>
          <w:tcPr>
            <w:tcW w:w="3039" w:type="dxa"/>
            <w:tcBorders>
              <w:top w:val="nil"/>
              <w:left w:val="nil"/>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sz w:val="21"/>
                <w:szCs w:val="21"/>
              </w:rPr>
              <w:t>健全基本民生保障体系</w:t>
            </w:r>
          </w:p>
        </w:tc>
        <w:tc>
          <w:tcPr>
            <w:tcW w:w="4736" w:type="dxa"/>
            <w:tcBorders>
              <w:top w:val="nil"/>
              <w:left w:val="nil"/>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（1）改革完善社会救助制度。</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（2）加强儿童福利和保护体系建设。</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（3）完善残疾人福利保障工作。</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（4）提升接济救助服务水平。</w:t>
            </w:r>
          </w:p>
        </w:tc>
      </w:tr>
      <w:tr>
        <w:tblPrEx>
          <w:tblCellMar>
            <w:top w:w="0" w:type="dxa"/>
            <w:left w:w="108" w:type="dxa"/>
            <w:bottom w:w="0" w:type="dxa"/>
            <w:right w:w="108" w:type="dxa"/>
          </w:tblCellMar>
        </w:tblPrEx>
        <w:trPr>
          <w:trHeight w:val="20" w:hRule="atLeast"/>
        </w:trPr>
        <w:tc>
          <w:tcPr>
            <w:tcW w:w="1060"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w:t>
            </w:r>
          </w:p>
        </w:tc>
        <w:tc>
          <w:tcPr>
            <w:tcW w:w="3039" w:type="dxa"/>
            <w:tcBorders>
              <w:top w:val="nil"/>
              <w:left w:val="nil"/>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优化基本社会服务供给，深化基层社会治理体系</w:t>
            </w:r>
          </w:p>
        </w:tc>
        <w:tc>
          <w:tcPr>
            <w:tcW w:w="4736" w:type="dxa"/>
            <w:tcBorders>
              <w:top w:val="nil"/>
              <w:left w:val="nil"/>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（1）抓好殡葬管理和服务工作。</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（2）加强基层治理改革统筹设计。</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（3）加强和完善城乡社区治理。</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（4）促进社会组织健康发展。</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（5）健全社会工作体制机制</w:t>
            </w:r>
          </w:p>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（6）加强社会工作人才队伍建设。</w:t>
            </w:r>
          </w:p>
        </w:tc>
      </w:tr>
      <w:tr>
        <w:tblPrEx>
          <w:tblCellMar>
            <w:top w:w="0" w:type="dxa"/>
            <w:left w:w="108" w:type="dxa"/>
            <w:bottom w:w="0" w:type="dxa"/>
            <w:right w:w="108" w:type="dxa"/>
          </w:tblCellMar>
        </w:tblPrEx>
        <w:trPr>
          <w:trHeight w:val="20" w:hRule="atLeast"/>
        </w:trPr>
        <w:tc>
          <w:tcPr>
            <w:tcW w:w="1060"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w:t>
            </w:r>
          </w:p>
        </w:tc>
        <w:tc>
          <w:tcPr>
            <w:tcW w:w="3039" w:type="dxa"/>
            <w:tcBorders>
              <w:top w:val="nil"/>
              <w:left w:val="nil"/>
              <w:bottom w:val="single" w:color="auto" w:sz="4" w:space="0"/>
              <w:right w:val="single" w:color="auto" w:sz="4" w:space="0"/>
            </w:tcBorders>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加强党对社会建设和民政事业的全面领导，推进全面从严治党</w:t>
            </w:r>
          </w:p>
        </w:tc>
        <w:tc>
          <w:tcPr>
            <w:tcW w:w="4736" w:type="dxa"/>
            <w:tcBorders>
              <w:top w:val="nil"/>
              <w:left w:val="nil"/>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（1）深入学习贯彻党的十九届六中全会精神。</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（2）加强全市社会建设工作统筹。</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（3）加强社区党建体制机制建设。</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（4）深化社会组织党的建设。</w:t>
            </w:r>
            <w:r>
              <w:rPr>
                <w:rFonts w:ascii="Times New Roman" w:hAnsi="Times New Roman" w:eastAsia="宋体" w:cs="Times New Roman"/>
                <w:color w:val="000000"/>
                <w:sz w:val="21"/>
                <w:szCs w:val="21"/>
              </w:rPr>
              <w:br w:type="textWrapping"/>
            </w:r>
            <w:r>
              <w:rPr>
                <w:rFonts w:ascii="Times New Roman" w:hAnsi="Times New Roman" w:eastAsia="宋体" w:cs="Times New Roman"/>
                <w:color w:val="000000"/>
                <w:sz w:val="21"/>
                <w:szCs w:val="21"/>
              </w:rPr>
              <w:t>（5）抓好常态化疫情防控。</w:t>
            </w:r>
          </w:p>
        </w:tc>
      </w:tr>
    </w:tbl>
    <w:p>
      <w:pPr>
        <w:pStyle w:val="3"/>
        <w:shd w:val="clear" w:color="010000" w:fill="auto"/>
        <w:spacing w:before="219" w:beforeLines="50"/>
        <w:ind w:firstLine="640"/>
        <w:jc w:val="left"/>
        <w:rPr>
          <w:rFonts w:ascii="Times New Roman" w:hAnsi="Times New Roman" w:cs="Times New Roman"/>
        </w:rPr>
      </w:pPr>
      <w:r>
        <w:rPr>
          <w:rFonts w:ascii="Times New Roman" w:hAnsi="Times New Roman" w:cs="Times New Roman"/>
        </w:rPr>
        <w:t>（二）部门整体绩效目标设立情况</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1.绩效目标与职责任务匹配性</w:t>
      </w:r>
    </w:p>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2022年度部门整体绩效目标围绕</w:t>
      </w:r>
      <w:r>
        <w:rPr>
          <w:rFonts w:hint="eastAsia" w:ascii="Times New Roman" w:hAnsi="Times New Roman" w:cs="Times New Roman"/>
        </w:rPr>
        <w:t>部门</w:t>
      </w:r>
      <w:r>
        <w:rPr>
          <w:rFonts w:ascii="Times New Roman" w:hAnsi="Times New Roman" w:cs="Times New Roman"/>
        </w:rPr>
        <w:t>职能及2022年度工作计划设置，绩效</w:t>
      </w:r>
      <w:r>
        <w:rPr>
          <w:rFonts w:hint="eastAsia" w:ascii="Times New Roman" w:hAnsi="Times New Roman" w:cs="Times New Roman"/>
        </w:rPr>
        <w:t>内容</w:t>
      </w:r>
      <w:r>
        <w:rPr>
          <w:rFonts w:ascii="Times New Roman" w:hAnsi="Times New Roman" w:cs="Times New Roman"/>
        </w:rPr>
        <w:t>与</w:t>
      </w:r>
      <w:r>
        <w:rPr>
          <w:rFonts w:hint="eastAsia" w:ascii="Times New Roman" w:hAnsi="Times New Roman" w:cs="Times New Roman"/>
        </w:rPr>
        <w:t>部门</w:t>
      </w:r>
      <w:r>
        <w:rPr>
          <w:rFonts w:ascii="Times New Roman" w:hAnsi="Times New Roman" w:cs="Times New Roman"/>
        </w:rPr>
        <w:t>职责履行、年度工作任务相符。绩效目标与部门职责及年度重点工作匹配情况如下：</w:t>
      </w:r>
    </w:p>
    <w:p>
      <w:pPr>
        <w:shd w:val="clear" w:color="000000" w:fill="auto"/>
        <w:jc w:val="center"/>
        <w:rPr>
          <w:rFonts w:ascii="Times New Roman" w:hAnsi="Times New Roman" w:eastAsia="黑体" w:cs="Times New Roman"/>
          <w:color w:val="000000"/>
          <w:sz w:val="28"/>
          <w:szCs w:val="28"/>
        </w:rPr>
      </w:pPr>
      <w:r>
        <w:rPr>
          <w:rFonts w:ascii="Times New Roman" w:hAnsi="Times New Roman" w:eastAsia="黑体" w:cs="Times New Roman"/>
          <w:sz w:val="28"/>
          <w:szCs w:val="28"/>
        </w:rPr>
        <w:t xml:space="preserve">表4  </w:t>
      </w:r>
      <w:r>
        <w:rPr>
          <w:rFonts w:ascii="Times New Roman" w:hAnsi="Times New Roman" w:eastAsia="黑体" w:cs="Times New Roman"/>
          <w:color w:val="000000"/>
          <w:sz w:val="28"/>
          <w:szCs w:val="28"/>
        </w:rPr>
        <w:t>2022年度部门整体绩效目标与职责及年度任务对应情况表</w:t>
      </w:r>
    </w:p>
    <w:tbl>
      <w:tblPr>
        <w:tblStyle w:val="11"/>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2241"/>
        <w:gridCol w:w="2062"/>
        <w:gridCol w:w="3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1012" w:type="dxa"/>
            <w:vAlign w:val="center"/>
          </w:tcPr>
          <w:p>
            <w:pPr>
              <w:jc w:val="center"/>
              <w:rPr>
                <w:rFonts w:ascii="宋体" w:hAnsi="宋体" w:eastAsia="宋体" w:cs="Times New Roman"/>
                <w:b/>
                <w:bCs/>
                <w:color w:val="000000"/>
                <w:sz w:val="18"/>
                <w:szCs w:val="18"/>
              </w:rPr>
            </w:pPr>
            <w:r>
              <w:rPr>
                <w:rFonts w:ascii="宋体" w:hAnsi="宋体" w:eastAsia="宋体" w:cs="Times New Roman"/>
                <w:b/>
                <w:bCs/>
                <w:color w:val="000000"/>
                <w:sz w:val="18"/>
                <w:szCs w:val="18"/>
              </w:rPr>
              <w:t>序号</w:t>
            </w:r>
          </w:p>
        </w:tc>
        <w:tc>
          <w:tcPr>
            <w:tcW w:w="2241" w:type="dxa"/>
            <w:vAlign w:val="center"/>
          </w:tcPr>
          <w:p>
            <w:pPr>
              <w:jc w:val="center"/>
              <w:rPr>
                <w:rFonts w:ascii="宋体" w:hAnsi="宋体" w:eastAsia="宋体" w:cs="Times New Roman"/>
                <w:b/>
                <w:bCs/>
                <w:color w:val="000000"/>
                <w:sz w:val="18"/>
                <w:szCs w:val="18"/>
              </w:rPr>
            </w:pPr>
            <w:r>
              <w:rPr>
                <w:rFonts w:ascii="宋体" w:hAnsi="宋体" w:eastAsia="宋体" w:cs="Times New Roman"/>
                <w:b/>
                <w:bCs/>
                <w:color w:val="000000"/>
                <w:sz w:val="18"/>
                <w:szCs w:val="18"/>
              </w:rPr>
              <w:t>部门职责</w:t>
            </w:r>
          </w:p>
        </w:tc>
        <w:tc>
          <w:tcPr>
            <w:tcW w:w="2062" w:type="dxa"/>
            <w:vAlign w:val="center"/>
          </w:tcPr>
          <w:p>
            <w:pPr>
              <w:jc w:val="center"/>
              <w:rPr>
                <w:rFonts w:ascii="宋体" w:hAnsi="宋体" w:eastAsia="宋体" w:cs="Times New Roman"/>
                <w:b/>
                <w:bCs/>
                <w:color w:val="000000"/>
                <w:sz w:val="18"/>
                <w:szCs w:val="18"/>
              </w:rPr>
            </w:pPr>
            <w:r>
              <w:rPr>
                <w:rFonts w:ascii="宋体" w:hAnsi="宋体" w:eastAsia="宋体" w:cs="Times New Roman"/>
                <w:b/>
                <w:bCs/>
                <w:color w:val="000000"/>
                <w:sz w:val="18"/>
                <w:szCs w:val="18"/>
              </w:rPr>
              <w:t>年度任务</w:t>
            </w:r>
          </w:p>
        </w:tc>
        <w:tc>
          <w:tcPr>
            <w:tcW w:w="3520" w:type="dxa"/>
            <w:vAlign w:val="center"/>
          </w:tcPr>
          <w:p>
            <w:pPr>
              <w:jc w:val="center"/>
              <w:rPr>
                <w:rFonts w:ascii="宋体" w:hAnsi="宋体" w:eastAsia="宋体" w:cs="Times New Roman"/>
                <w:b/>
                <w:bCs/>
                <w:color w:val="000000"/>
                <w:sz w:val="18"/>
                <w:szCs w:val="18"/>
              </w:rPr>
            </w:pPr>
            <w:r>
              <w:rPr>
                <w:rFonts w:ascii="宋体" w:hAnsi="宋体" w:eastAsia="宋体" w:cs="Times New Roman"/>
                <w:b/>
                <w:bCs/>
                <w:color w:val="000000"/>
                <w:sz w:val="18"/>
                <w:szCs w:val="18"/>
              </w:rPr>
              <w:t>具体任务指标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1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1</w:t>
            </w:r>
          </w:p>
        </w:tc>
        <w:tc>
          <w:tcPr>
            <w:tcW w:w="2241"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负责统筹推进、督促指导、监督管理养老服务工作。拟订养老服务体系建设政策、法规草案、标准和规划并组织实施。</w:t>
            </w:r>
          </w:p>
        </w:tc>
        <w:tc>
          <w:tcPr>
            <w:tcW w:w="206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不断健全完善养老服务体系</w:t>
            </w:r>
          </w:p>
        </w:tc>
        <w:tc>
          <w:tcPr>
            <w:tcW w:w="3520"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新建养老家庭照护床位2000张</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居家养老和机构投保床位数量≥126000张</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养老服务机构抵御意外风险能力不断提高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1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2</w:t>
            </w:r>
          </w:p>
        </w:tc>
        <w:tc>
          <w:tcPr>
            <w:tcW w:w="2241"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组织拟订本市城乡社会救助规划、政策和标准；健全城乡社会救助体系，负责城乡居民最低生活保障、临时救助、城市生活无着的流浪乞讨人员救助工作。负责特困人员供养工作。</w:t>
            </w:r>
          </w:p>
        </w:tc>
        <w:tc>
          <w:tcPr>
            <w:tcW w:w="206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健全基本民生保障体系</w:t>
            </w:r>
          </w:p>
        </w:tc>
        <w:tc>
          <w:tcPr>
            <w:tcW w:w="3520"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救助工作开展与相关政策要求符合度达100%</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各类救助对象应救尽救率达100%</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开展市未成年人保护热线线下个案处置时长≥300小时</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接济救助服务不定期督导次数≥12次</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接济救助服务问询核实人次数72人次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1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3</w:t>
            </w:r>
          </w:p>
        </w:tc>
        <w:tc>
          <w:tcPr>
            <w:tcW w:w="2241"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统筹推进本市城乡社区建设。协调指导本市社会工作人才队伍建设工作，拟订社会工作人才队伍建设的规划和政策措施并组织实施，建立健全以培养、评价、使用、激励为主要内容的制度和机制。</w:t>
            </w:r>
          </w:p>
        </w:tc>
        <w:tc>
          <w:tcPr>
            <w:tcW w:w="206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优化基本社会服务供给，深化基层社会治理体系</w:t>
            </w:r>
          </w:p>
        </w:tc>
        <w:tc>
          <w:tcPr>
            <w:tcW w:w="3520"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骨灰生态葬数量≥1518份</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进一步推广节地生态安葬的殡葬改革理念</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社区干部能力提升示范培训人员≥600人</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基层社会工作服务人才能力提升项目参与人数≥220人</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专业社会工作服务人才项目培养人数≥100人</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专业社会工作高级管理人才研修项目参与人数≥130人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1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4</w:t>
            </w:r>
          </w:p>
        </w:tc>
        <w:tc>
          <w:tcPr>
            <w:tcW w:w="2241"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协调指导各区、各有关单位开展社区党建工作；协调指导社会组织开展党建工作。统筹推进本市城乡社区建设，拟订城乡社区建设的规划和政策措施并组织实施。</w:t>
            </w:r>
          </w:p>
        </w:tc>
        <w:tc>
          <w:tcPr>
            <w:tcW w:w="2062" w:type="dxa"/>
            <w:vAlign w:val="center"/>
          </w:tcPr>
          <w:p>
            <w:pPr>
              <w:jc w:val="center"/>
              <w:rPr>
                <w:rFonts w:ascii="宋体" w:hAnsi="宋体" w:eastAsia="宋体" w:cs="Times New Roman"/>
                <w:color w:val="000000"/>
                <w:sz w:val="18"/>
                <w:szCs w:val="18"/>
              </w:rPr>
            </w:pPr>
            <w:r>
              <w:rPr>
                <w:rFonts w:ascii="宋体" w:hAnsi="宋体" w:eastAsia="宋体" w:cs="Times New Roman"/>
                <w:color w:val="000000"/>
                <w:sz w:val="18"/>
                <w:szCs w:val="18"/>
              </w:rPr>
              <w:t>加强党对社会建设和民政事业的全面领导，推进全面从严治党</w:t>
            </w:r>
          </w:p>
        </w:tc>
        <w:tc>
          <w:tcPr>
            <w:tcW w:w="3520" w:type="dxa"/>
            <w:vAlign w:val="center"/>
          </w:tcPr>
          <w:p>
            <w:pPr>
              <w:jc w:val="left"/>
              <w:rPr>
                <w:rFonts w:ascii="宋体" w:hAnsi="宋体" w:eastAsia="宋体" w:cs="Times New Roman"/>
                <w:color w:val="000000"/>
                <w:sz w:val="18"/>
                <w:szCs w:val="18"/>
              </w:rPr>
            </w:pPr>
            <w:r>
              <w:rPr>
                <w:rFonts w:ascii="宋体" w:hAnsi="宋体" w:eastAsia="宋体" w:cs="Times New Roman"/>
                <w:color w:val="000000"/>
                <w:sz w:val="18"/>
                <w:szCs w:val="18"/>
              </w:rPr>
              <w:t>社区党建管理实施项目3个</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支持联合党委数量≥50家</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覆盖社会组织数量≥3000家</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支持的市级“枢纽型”社会组织27家</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支持社会组织党建管理岗位数量≥300个</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社会组织服务与管理考评合格率≥95%</w:t>
            </w:r>
            <w:r>
              <w:rPr>
                <w:rFonts w:ascii="宋体" w:hAnsi="宋体" w:eastAsia="宋体" w:cs="Times New Roman"/>
                <w:color w:val="000000"/>
                <w:sz w:val="18"/>
                <w:szCs w:val="18"/>
              </w:rPr>
              <w:br w:type="textWrapping"/>
            </w:r>
            <w:r>
              <w:rPr>
                <w:rFonts w:ascii="宋体" w:hAnsi="宋体" w:eastAsia="宋体" w:cs="Times New Roman"/>
                <w:color w:val="000000"/>
                <w:sz w:val="18"/>
                <w:szCs w:val="18"/>
              </w:rPr>
              <w:t>提升社会组织参与社会治理和服务的能力</w:t>
            </w:r>
          </w:p>
        </w:tc>
      </w:tr>
    </w:tbl>
    <w:p>
      <w:pPr>
        <w:pStyle w:val="4"/>
        <w:shd w:val="clear" w:color="010000" w:fill="auto"/>
        <w:spacing w:before="219" w:beforeLines="50" w:after="0" w:line="560" w:lineRule="exact"/>
        <w:ind w:firstLine="640" w:firstLineChars="200"/>
        <w:rPr>
          <w:rFonts w:ascii="Times New Roman" w:hAnsi="Times New Roman" w:cs="Times New Roman"/>
          <w:b w:val="0"/>
        </w:rPr>
      </w:pPr>
      <w:r>
        <w:rPr>
          <w:rFonts w:ascii="Times New Roman" w:hAnsi="Times New Roman" w:cs="Times New Roman"/>
          <w:b w:val="0"/>
        </w:rPr>
        <w:t>2.绩效目标合理性</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度委局</w:t>
      </w:r>
      <w:r>
        <w:rPr>
          <w:rFonts w:ascii="Times New Roman" w:hAnsi="Times New Roman" w:cs="Times New Roman"/>
        </w:rPr>
        <w:t>部门整体绩效目标与部门职能及年度工作任务匹配，能够有效覆盖重点领域重点工作，绩效指标</w:t>
      </w:r>
      <w:r>
        <w:rPr>
          <w:rFonts w:hint="eastAsia" w:ascii="Times New Roman" w:hAnsi="Times New Roman" w:cs="Times New Roman"/>
        </w:rPr>
        <w:t>较为量化</w:t>
      </w:r>
      <w:r>
        <w:rPr>
          <w:rFonts w:ascii="Times New Roman" w:hAnsi="Times New Roman" w:cs="Times New Roman"/>
        </w:rPr>
        <w:t>。</w:t>
      </w:r>
    </w:p>
    <w:p>
      <w:pPr>
        <w:spacing w:line="600" w:lineRule="exact"/>
        <w:ind w:firstLine="640" w:firstLineChars="200"/>
        <w:rPr>
          <w:rFonts w:ascii="Times New Roman" w:hAnsi="Times New Roman" w:eastAsia="黑体" w:cs="Times New Roman"/>
          <w:color w:val="000000"/>
          <w:kern w:val="0"/>
        </w:rPr>
      </w:pPr>
      <w:r>
        <w:rPr>
          <w:rFonts w:ascii="Times New Roman" w:hAnsi="Times New Roman" w:eastAsia="黑体" w:cs="Times New Roman"/>
          <w:color w:val="000000"/>
          <w:kern w:val="0"/>
        </w:rPr>
        <w:t>二、当年预算执行情况</w:t>
      </w:r>
    </w:p>
    <w:p>
      <w:pPr>
        <w:spacing w:line="600" w:lineRule="exact"/>
        <w:ind w:firstLine="640" w:firstLineChars="200"/>
        <w:rPr>
          <w:rFonts w:ascii="Times New Roman" w:hAnsi="Times New Roman" w:cs="Times New Roman"/>
          <w:color w:val="000000"/>
          <w:kern w:val="0"/>
        </w:rPr>
      </w:pPr>
      <w:r>
        <w:rPr>
          <w:rFonts w:hint="eastAsia" w:ascii="Times New Roman" w:hAnsi="Times New Roman" w:cs="Times New Roman"/>
          <w:kern w:val="0"/>
        </w:rPr>
        <w:t>委局</w:t>
      </w:r>
      <w:r>
        <w:rPr>
          <w:rFonts w:ascii="Times New Roman" w:hAnsi="Times New Roman" w:cs="Times New Roman"/>
          <w:kern w:val="0"/>
        </w:rPr>
        <w:t>2022</w:t>
      </w:r>
      <w:r>
        <w:rPr>
          <w:rFonts w:ascii="Times New Roman" w:hAnsi="Times New Roman" w:cs="Times New Roman"/>
          <w:color w:val="000000"/>
          <w:kern w:val="0"/>
        </w:rPr>
        <w:t>年全年预算数82,505.64万元，其中，基本支出预算数43,500.86万元，项目支出预算数37,609.59万元，其他支出预算数1,395.19万元。</w:t>
      </w:r>
    </w:p>
    <w:p>
      <w:pPr>
        <w:spacing w:line="600" w:lineRule="exact"/>
        <w:ind w:firstLine="640" w:firstLineChars="200"/>
        <w:rPr>
          <w:rFonts w:ascii="Times New Roman" w:hAnsi="Times New Roman" w:cs="Times New Roman"/>
          <w:color w:val="000000"/>
          <w:kern w:val="0"/>
        </w:rPr>
      </w:pPr>
      <w:r>
        <w:rPr>
          <w:rFonts w:ascii="Times New Roman" w:hAnsi="Times New Roman" w:cs="Times New Roman"/>
          <w:color w:val="000000"/>
          <w:kern w:val="0"/>
        </w:rPr>
        <w:t>截至2022年12月31日，</w:t>
      </w:r>
      <w:r>
        <w:rPr>
          <w:rFonts w:hint="eastAsia" w:ascii="Times New Roman" w:hAnsi="Times New Roman" w:cs="Times New Roman"/>
          <w:kern w:val="0"/>
        </w:rPr>
        <w:t>委局</w:t>
      </w:r>
      <w:r>
        <w:rPr>
          <w:rFonts w:ascii="Times New Roman" w:hAnsi="Times New Roman" w:cs="Times New Roman"/>
          <w:kern w:val="0"/>
        </w:rPr>
        <w:t>预算</w:t>
      </w:r>
      <w:r>
        <w:rPr>
          <w:rFonts w:ascii="Times New Roman" w:hAnsi="Times New Roman" w:cs="Times New Roman"/>
          <w:color w:val="000000"/>
          <w:kern w:val="0"/>
        </w:rPr>
        <w:t>资金</w:t>
      </w:r>
      <w:r>
        <w:rPr>
          <w:rFonts w:hint="eastAsia" w:ascii="Times New Roman" w:hAnsi="Times New Roman" w:cs="Times New Roman"/>
          <w:color w:val="000000"/>
          <w:kern w:val="0"/>
        </w:rPr>
        <w:t>实际</w:t>
      </w:r>
      <w:r>
        <w:rPr>
          <w:rFonts w:ascii="Times New Roman" w:hAnsi="Times New Roman" w:cs="Times New Roman"/>
          <w:color w:val="000000"/>
          <w:kern w:val="0"/>
        </w:rPr>
        <w:t>支出77,667.00万元，其中，基本支出41,673.87万元，项目支出35,085.43万元，其他支出907.70万元。预算执行率为94.14</w:t>
      </w:r>
      <w:r>
        <w:rPr>
          <w:rFonts w:ascii="Times New Roman" w:hAnsi="Times New Roman" w:cs="Times New Roman"/>
          <w:color w:val="000000"/>
        </w:rPr>
        <w:t>%</w:t>
      </w:r>
      <w:r>
        <w:rPr>
          <w:rFonts w:ascii="Times New Roman" w:hAnsi="Times New Roman" w:cs="Times New Roman"/>
          <w:color w:val="000000"/>
          <w:kern w:val="0"/>
        </w:rPr>
        <w:t>。</w:t>
      </w:r>
    </w:p>
    <w:p>
      <w:pPr>
        <w:shd w:val="clear" w:color="000000" w:fill="auto"/>
        <w:adjustRightInd w:val="0"/>
        <w:snapToGrid w:val="0"/>
        <w:spacing w:before="219" w:beforeLines="50"/>
        <w:jc w:val="center"/>
        <w:rPr>
          <w:rFonts w:ascii="Times New Roman" w:hAnsi="Times New Roman" w:eastAsia="黑体" w:cs="Times New Roman"/>
          <w:sz w:val="28"/>
          <w:szCs w:val="28"/>
        </w:rPr>
      </w:pPr>
      <w:r>
        <w:rPr>
          <w:rFonts w:ascii="Times New Roman" w:hAnsi="Times New Roman" w:eastAsia="黑体" w:cs="Times New Roman"/>
          <w:sz w:val="28"/>
          <w:szCs w:val="28"/>
        </w:rPr>
        <w:t>表5  2022年部门预算执行情况表</w:t>
      </w:r>
    </w:p>
    <w:p>
      <w:pPr>
        <w:shd w:val="clear" w:color="000000" w:fill="auto"/>
        <w:adjustRightInd w:val="0"/>
        <w:snapToGrid w:val="0"/>
        <w:jc w:val="right"/>
        <w:rPr>
          <w:rFonts w:cs="仿宋_GB2312"/>
          <w:sz w:val="28"/>
          <w:szCs w:val="28"/>
        </w:rPr>
      </w:pPr>
      <w:r>
        <w:rPr>
          <w:rFonts w:hint="eastAsia" w:cs="仿宋_GB2312"/>
          <w:sz w:val="28"/>
          <w:szCs w:val="28"/>
        </w:rPr>
        <w:t>单位：万元</w:t>
      </w:r>
    </w:p>
    <w:tbl>
      <w:tblPr>
        <w:tblStyle w:val="11"/>
        <w:tblW w:w="8835" w:type="dxa"/>
        <w:tblInd w:w="0" w:type="dxa"/>
        <w:tblLayout w:type="fixed"/>
        <w:tblCellMar>
          <w:top w:w="0" w:type="dxa"/>
          <w:left w:w="108" w:type="dxa"/>
          <w:bottom w:w="0" w:type="dxa"/>
          <w:right w:w="108" w:type="dxa"/>
        </w:tblCellMar>
      </w:tblPr>
      <w:tblGrid>
        <w:gridCol w:w="1891"/>
        <w:gridCol w:w="1737"/>
        <w:gridCol w:w="1737"/>
        <w:gridCol w:w="1737"/>
        <w:gridCol w:w="1733"/>
      </w:tblGrid>
      <w:tr>
        <w:tblPrEx>
          <w:tblCellMar>
            <w:top w:w="0" w:type="dxa"/>
            <w:left w:w="108" w:type="dxa"/>
            <w:bottom w:w="0" w:type="dxa"/>
            <w:right w:w="108" w:type="dxa"/>
          </w:tblCellMar>
        </w:tblPrEx>
        <w:trPr>
          <w:trHeight w:val="397" w:hRule="atLeast"/>
          <w:tblHeader/>
        </w:trPr>
        <w:tc>
          <w:tcPr>
            <w:tcW w:w="1891" w:type="dxa"/>
            <w:tcBorders>
              <w:top w:val="single" w:color="auto" w:sz="4" w:space="0"/>
              <w:left w:val="single" w:color="auto" w:sz="4" w:space="0"/>
              <w:bottom w:val="single" w:color="auto" w:sz="4" w:space="0"/>
              <w:right w:val="single" w:color="auto" w:sz="4" w:space="0"/>
            </w:tcBorders>
            <w:shd w:val="clear" w:color="000000" w:fill="D0CECE"/>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类别</w:t>
            </w:r>
          </w:p>
        </w:tc>
        <w:tc>
          <w:tcPr>
            <w:tcW w:w="1737" w:type="dxa"/>
            <w:tcBorders>
              <w:top w:val="single" w:color="auto" w:sz="4" w:space="0"/>
              <w:left w:val="nil"/>
              <w:bottom w:val="single" w:color="auto" w:sz="4" w:space="0"/>
              <w:right w:val="single" w:color="auto" w:sz="4" w:space="0"/>
            </w:tcBorders>
            <w:shd w:val="clear" w:color="000000" w:fill="D0CECE"/>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年初预算数</w:t>
            </w:r>
          </w:p>
        </w:tc>
        <w:tc>
          <w:tcPr>
            <w:tcW w:w="1737" w:type="dxa"/>
            <w:tcBorders>
              <w:top w:val="single" w:color="auto" w:sz="4" w:space="0"/>
              <w:left w:val="nil"/>
              <w:bottom w:val="single" w:color="auto" w:sz="4" w:space="0"/>
              <w:right w:val="single" w:color="auto" w:sz="4" w:space="0"/>
            </w:tcBorders>
            <w:shd w:val="clear" w:color="000000" w:fill="D0CECE"/>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全年预算数</w:t>
            </w:r>
          </w:p>
        </w:tc>
        <w:tc>
          <w:tcPr>
            <w:tcW w:w="1737" w:type="dxa"/>
            <w:tcBorders>
              <w:top w:val="single" w:color="auto" w:sz="4" w:space="0"/>
              <w:left w:val="nil"/>
              <w:bottom w:val="single" w:color="auto" w:sz="4" w:space="0"/>
              <w:right w:val="single" w:color="auto" w:sz="4" w:space="0"/>
            </w:tcBorders>
            <w:shd w:val="clear" w:color="000000" w:fill="D0CECE"/>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决算数</w:t>
            </w:r>
          </w:p>
        </w:tc>
        <w:tc>
          <w:tcPr>
            <w:tcW w:w="1733" w:type="dxa"/>
            <w:tcBorders>
              <w:top w:val="single" w:color="auto" w:sz="4" w:space="0"/>
              <w:left w:val="nil"/>
              <w:bottom w:val="single" w:color="auto" w:sz="4" w:space="0"/>
              <w:right w:val="single" w:color="auto" w:sz="4" w:space="0"/>
            </w:tcBorders>
            <w:shd w:val="clear" w:color="000000" w:fill="D0CECE"/>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预算执行率</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基本支出</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41,326.13</w:t>
            </w:r>
            <w:r>
              <w:rPr>
                <w:rStyle w:val="15"/>
                <w:rFonts w:ascii="Times New Roman" w:hAnsi="Times New Roman" w:eastAsia="宋体" w:cs="Times New Roman"/>
                <w:color w:val="000000"/>
                <w:sz w:val="21"/>
                <w:szCs w:val="21"/>
              </w:rPr>
              <w:footnoteReference w:id="0"/>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43,500.86</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41,673.87</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95.80%</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ind w:firstLine="210" w:firstLineChars="10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人员经费</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34,564.09</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36,876.41</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36,094.45</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97.88%</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ind w:firstLine="210" w:firstLineChars="10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公用经费</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6,762.05</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6,624.45</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5,579.42</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84.22%</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项目支出</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41,326.16</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37,609.59</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35,085.43</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93.29%</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其他支出</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0.00</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1,395.19</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907.70</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65.06%</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本年支出合计</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 xml:space="preserve">82,652.29 </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 xml:space="preserve">82,505.64 </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 xml:space="preserve">77,667.00 </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94.14%</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年末结转和结余</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0</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0</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4,360.05</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w:t>
            </w:r>
          </w:p>
        </w:tc>
      </w:tr>
      <w:tr>
        <w:tblPrEx>
          <w:tblCellMar>
            <w:top w:w="0" w:type="dxa"/>
            <w:left w:w="108" w:type="dxa"/>
            <w:bottom w:w="0" w:type="dxa"/>
            <w:right w:w="108" w:type="dxa"/>
          </w:tblCellMar>
        </w:tblPrEx>
        <w:trPr>
          <w:trHeight w:val="397" w:hRule="atLeast"/>
        </w:trPr>
        <w:tc>
          <w:tcPr>
            <w:tcW w:w="1891"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总计</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 xml:space="preserve">82,652.29 </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 xml:space="preserve">82,505.64 </w:t>
            </w:r>
          </w:p>
        </w:tc>
        <w:tc>
          <w:tcPr>
            <w:tcW w:w="1737"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82,027.04</w:t>
            </w:r>
            <w:r>
              <w:rPr>
                <w:rStyle w:val="15"/>
                <w:rFonts w:ascii="Times New Roman" w:hAnsi="Times New Roman" w:eastAsia="宋体" w:cs="Times New Roman"/>
                <w:b/>
                <w:bCs/>
                <w:color w:val="000000"/>
                <w:sz w:val="21"/>
                <w:szCs w:val="21"/>
              </w:rPr>
              <w:footnoteReference w:id="1"/>
            </w:r>
            <w:r>
              <w:rPr>
                <w:rFonts w:ascii="Times New Roman" w:hAnsi="Times New Roman" w:eastAsia="宋体" w:cs="Times New Roman"/>
                <w:b/>
                <w:bCs/>
                <w:color w:val="000000"/>
                <w:sz w:val="21"/>
                <w:szCs w:val="21"/>
              </w:rPr>
              <w:t xml:space="preserve"> </w:t>
            </w:r>
          </w:p>
        </w:tc>
        <w:tc>
          <w:tcPr>
            <w:tcW w:w="1733" w:type="dxa"/>
            <w:tcBorders>
              <w:top w:val="nil"/>
              <w:left w:val="nil"/>
              <w:bottom w:val="single" w:color="auto" w:sz="4" w:space="0"/>
              <w:right w:val="single" w:color="auto" w:sz="4" w:space="0"/>
            </w:tcBorders>
            <w:vAlign w:val="center"/>
          </w:tcPr>
          <w:p>
            <w:pPr>
              <w:jc w:val="right"/>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w:t>
            </w:r>
          </w:p>
        </w:tc>
      </w:tr>
    </w:tbl>
    <w:p>
      <w:pPr>
        <w:pStyle w:val="2"/>
        <w:keepNext/>
        <w:keepLines/>
        <w:shd w:val="clear" w:color="010000" w:fill="auto"/>
        <w:spacing w:before="219" w:beforeLines="50"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三、整体绩效目标实现情况</w:t>
      </w:r>
    </w:p>
    <w:p>
      <w:pPr>
        <w:pStyle w:val="3"/>
        <w:shd w:val="clear" w:color="010000" w:fill="auto"/>
        <w:ind w:firstLine="640"/>
        <w:rPr>
          <w:rFonts w:ascii="Times New Roman" w:hAnsi="Times New Roman" w:cs="Times New Roman"/>
        </w:rPr>
      </w:pPr>
      <w:r>
        <w:rPr>
          <w:rFonts w:ascii="Times New Roman" w:hAnsi="Times New Roman" w:cs="Times New Roman"/>
        </w:rPr>
        <w:t>（一）产出完成情况分析</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1.产出数量</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委局</w:t>
      </w:r>
      <w:r>
        <w:rPr>
          <w:rFonts w:ascii="Times New Roman" w:hAnsi="Times New Roman" w:cs="Times New Roman"/>
        </w:rPr>
        <w:t>积极落实市政府重点任务及部门年度重点工作，各项产出指标完成情况如下表所示：</w:t>
      </w:r>
    </w:p>
    <w:p>
      <w:pPr>
        <w:shd w:val="clear" w:color="000000" w:fill="auto"/>
        <w:spacing w:line="560" w:lineRule="exact"/>
        <w:ind w:firstLine="640" w:firstLineChars="200"/>
        <w:rPr>
          <w:rFonts w:ascii="Times New Roman" w:hAnsi="Times New Roman" w:cs="Times New Roman"/>
        </w:rPr>
      </w:pPr>
    </w:p>
    <w:p>
      <w:pPr>
        <w:shd w:val="clear" w:color="000000" w:fill="auto"/>
        <w:adjustRightInd w:val="0"/>
        <w:snapToGrid w:val="0"/>
        <w:spacing w:before="219" w:beforeLines="50"/>
        <w:jc w:val="center"/>
        <w:rPr>
          <w:rFonts w:ascii="Times New Roman" w:hAnsi="Times New Roman" w:eastAsia="黑体" w:cs="Times New Roman"/>
          <w:sz w:val="28"/>
          <w:szCs w:val="28"/>
        </w:rPr>
      </w:pPr>
      <w:r>
        <w:rPr>
          <w:rFonts w:ascii="Times New Roman" w:hAnsi="Times New Roman" w:eastAsia="黑体" w:cs="Times New Roman"/>
          <w:sz w:val="28"/>
          <w:szCs w:val="28"/>
        </w:rPr>
        <w:t>表6  2022年</w:t>
      </w:r>
      <w:r>
        <w:rPr>
          <w:rFonts w:hint="eastAsia" w:ascii="Times New Roman" w:hAnsi="Times New Roman" w:eastAsia="黑体" w:cs="Times New Roman"/>
          <w:sz w:val="28"/>
          <w:szCs w:val="28"/>
        </w:rPr>
        <w:t>部门</w:t>
      </w:r>
      <w:r>
        <w:rPr>
          <w:rFonts w:ascii="Times New Roman" w:hAnsi="Times New Roman" w:eastAsia="黑体" w:cs="Times New Roman"/>
          <w:sz w:val="28"/>
          <w:szCs w:val="28"/>
        </w:rPr>
        <w:t>产出数量指标完成情况</w:t>
      </w:r>
    </w:p>
    <w:tbl>
      <w:tblPr>
        <w:tblStyle w:val="11"/>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4195"/>
        <w:gridCol w:w="1949"/>
        <w:gridCol w:w="1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94" w:type="dxa"/>
            <w:vAlign w:val="center"/>
          </w:tcPr>
          <w:p>
            <w:pPr>
              <w:widowControl/>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序号</w:t>
            </w:r>
          </w:p>
        </w:tc>
        <w:tc>
          <w:tcPr>
            <w:tcW w:w="4195" w:type="dxa"/>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绩效指标</w:t>
            </w:r>
          </w:p>
        </w:tc>
        <w:tc>
          <w:tcPr>
            <w:tcW w:w="1949" w:type="dxa"/>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目标值</w:t>
            </w:r>
          </w:p>
        </w:tc>
        <w:tc>
          <w:tcPr>
            <w:tcW w:w="1797" w:type="dxa"/>
            <w:vAlign w:val="center"/>
          </w:tcPr>
          <w:p>
            <w:pPr>
              <w:jc w:val="center"/>
              <w:rPr>
                <w:rFonts w:ascii="Times New Roman" w:hAnsi="Times New Roman" w:eastAsia="宋体" w:cs="Times New Roman"/>
                <w:b/>
                <w:bCs/>
                <w:color w:val="000000"/>
                <w:sz w:val="21"/>
                <w:szCs w:val="21"/>
              </w:rPr>
            </w:pPr>
            <w:r>
              <w:rPr>
                <w:rFonts w:ascii="Times New Roman" w:hAnsi="Times New Roman" w:eastAsia="宋体" w:cs="Times New Roman"/>
                <w:b/>
                <w:bCs/>
                <w:color w:val="000000"/>
                <w:sz w:val="21"/>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支持联合党委数量</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≥50家</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52家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覆盖社会组织数量</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≥3000家</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5651家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支持的市级“枢纽型”社会组织数量</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27家</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27家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支持社会组织党建管理岗位数量</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≥300个</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337个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基层社会工作服务人才能力提升项目参与人数</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≥220人</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专业社会工作服务人才项目培养人数</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≥100人</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177人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7</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专业社会工作高级管理人才研修项目参与人数</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≥130人</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410人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居家养老和机构投保床位数量</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≥126000张</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167846张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新建养老家庭照护床位数量</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2000张</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3682张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开展市未成年人保护热线线下个案处置时长</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≥300小时</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200小时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11</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接济救助服务不定期督导次数</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≥12次</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12</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接济救助服务问询核实人次数</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72人次</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72人次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社会救助各类救助对象应救尽救率</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14</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社区干部能力提升示范培训人员数量</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600人</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925人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15</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社区党建管理实施项目数量</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3个</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16</w:t>
            </w:r>
          </w:p>
        </w:tc>
        <w:tc>
          <w:tcPr>
            <w:tcW w:w="4195"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骨灰生态葬数量</w:t>
            </w:r>
          </w:p>
        </w:tc>
        <w:tc>
          <w:tcPr>
            <w:tcW w:w="1949"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≥1518份</w:t>
            </w:r>
          </w:p>
        </w:tc>
        <w:tc>
          <w:tcPr>
            <w:tcW w:w="1797"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1518份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17</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等保三级测评系统、风险评估系统、密码测评系统数量</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5个（套）</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等保三级测评系统、密码测评系统5个；风险评估系统6个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18</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社会组织服务与管理考评合格率</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≥95%</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19</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救助工作开展与相关政策要求符合度</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100%</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信息建设常规检查合格率</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≥99%</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21</w:t>
            </w:r>
          </w:p>
        </w:tc>
        <w:tc>
          <w:tcPr>
            <w:tcW w:w="4195"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信息建设安全事件及时处理率</w:t>
            </w:r>
          </w:p>
        </w:tc>
        <w:tc>
          <w:tcPr>
            <w:tcW w:w="1949"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≥99%</w:t>
            </w:r>
          </w:p>
        </w:tc>
        <w:tc>
          <w:tcPr>
            <w:tcW w:w="1797" w:type="dxa"/>
            <w:vAlign w:val="center"/>
          </w:tcPr>
          <w:p>
            <w:pPr>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99%</w:t>
            </w:r>
          </w:p>
        </w:tc>
      </w:tr>
    </w:tbl>
    <w:p>
      <w:pPr>
        <w:shd w:val="clear" w:color="000000" w:fill="auto"/>
        <w:spacing w:before="219" w:beforeLines="50"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在加强党对社会建设和民政事业的全面领导、健全完善养老服务体系、健全基本民生保障体系、优化基本社会服务供给、深化基层社会治理体系等方面</w:t>
      </w:r>
      <w:r>
        <w:rPr>
          <w:rFonts w:hint="eastAsia" w:ascii="Times New Roman" w:hAnsi="Times New Roman" w:cs="Times New Roman"/>
        </w:rPr>
        <w:t>的</w:t>
      </w:r>
      <w:r>
        <w:rPr>
          <w:rFonts w:ascii="Times New Roman" w:hAnsi="Times New Roman" w:cs="Times New Roman"/>
        </w:rPr>
        <w:t>产出数量指标完成情况相对较好，其中，接济救助服务不定期督导</w:t>
      </w:r>
      <w:r>
        <w:rPr>
          <w:rFonts w:hint="eastAsia" w:ascii="Times New Roman" w:hAnsi="Times New Roman" w:cs="Times New Roman"/>
        </w:rPr>
        <w:t>工作</w:t>
      </w:r>
      <w:r>
        <w:rPr>
          <w:rFonts w:ascii="Times New Roman" w:hAnsi="Times New Roman" w:cs="Times New Roman"/>
        </w:rPr>
        <w:t>受疫情影响，年度目标值未完成</w:t>
      </w:r>
      <w:r>
        <w:rPr>
          <w:rFonts w:hint="eastAsia" w:ascii="Times New Roman" w:hAnsi="Times New Roman" w:cs="Times New Roman"/>
        </w:rPr>
        <w:t>；</w:t>
      </w:r>
      <w:r>
        <w:rPr>
          <w:rFonts w:ascii="Times New Roman" w:hAnsi="Times New Roman" w:cs="Times New Roman"/>
        </w:rPr>
        <w:t>市未成年人保护热线线下个案处置</w:t>
      </w:r>
      <w:r>
        <w:rPr>
          <w:rFonts w:hint="eastAsia" w:ascii="Times New Roman" w:hAnsi="Times New Roman" w:cs="Times New Roman"/>
        </w:rPr>
        <w:t>由于预算核减，年度目标值未完成。</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2.产出质量</w:t>
      </w:r>
    </w:p>
    <w:p>
      <w:pPr>
        <w:shd w:val="clear" w:color="000000" w:fill="auto"/>
        <w:spacing w:line="560" w:lineRule="exact"/>
        <w:ind w:firstLine="64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严格按照相关制度要求，开展各项工作，社会组织服务与管理考评合格率达100%，社会工作人才管理服务活动参与率达100%，救助工作开展与相关政策要求符合度达100%，信息建设常规检查合格率和信息建设安全事件及时处理率达99%，基层治理能力提升服务质量经审核达预期目标，部门整体产出质量良好。</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3.产出进度</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根据部门整体产出目标完成情况分析，除接济救助服务不定期督导</w:t>
      </w:r>
      <w:r>
        <w:rPr>
          <w:rFonts w:hint="eastAsia" w:ascii="Times New Roman" w:hAnsi="Times New Roman" w:cs="Times New Roman"/>
        </w:rPr>
        <w:t>、</w:t>
      </w:r>
      <w:r>
        <w:rPr>
          <w:rFonts w:ascii="Times New Roman" w:hAnsi="Times New Roman" w:cs="Times New Roman"/>
        </w:rPr>
        <w:t>市未成年人保护热线线下个案处置未</w:t>
      </w:r>
      <w:r>
        <w:rPr>
          <w:rFonts w:hint="eastAsia" w:ascii="Times New Roman" w:hAnsi="Times New Roman" w:cs="Times New Roman"/>
        </w:rPr>
        <w:t>全部</w:t>
      </w:r>
      <w:r>
        <w:rPr>
          <w:rFonts w:ascii="Times New Roman" w:hAnsi="Times New Roman" w:cs="Times New Roman"/>
        </w:rPr>
        <w:t>完成，</w:t>
      </w:r>
      <w:r>
        <w:rPr>
          <w:rFonts w:hint="eastAsia" w:ascii="Times New Roman" w:hAnsi="Times New Roman" w:cs="Times New Roman"/>
        </w:rPr>
        <w:t>委局</w:t>
      </w:r>
      <w:r>
        <w:rPr>
          <w:rFonts w:ascii="Times New Roman" w:hAnsi="Times New Roman" w:cs="Times New Roman"/>
        </w:rPr>
        <w:t>其他年度重点工作均按照计划完成</w:t>
      </w:r>
      <w:r>
        <w:rPr>
          <w:rFonts w:hint="eastAsia" w:ascii="Times New Roman" w:hAnsi="Times New Roman" w:cs="Times New Roman"/>
        </w:rPr>
        <w:t>，部门年度</w:t>
      </w:r>
      <w:r>
        <w:rPr>
          <w:rFonts w:ascii="Times New Roman" w:hAnsi="Times New Roman" w:cs="Times New Roman"/>
        </w:rPr>
        <w:t>产出</w:t>
      </w:r>
      <w:r>
        <w:rPr>
          <w:rFonts w:hint="eastAsia" w:ascii="Times New Roman" w:hAnsi="Times New Roman" w:cs="Times New Roman"/>
        </w:rPr>
        <w:t>进度良好</w:t>
      </w:r>
      <w:r>
        <w:rPr>
          <w:rFonts w:ascii="Times New Roman" w:hAnsi="Times New Roman" w:cs="Times New Roman"/>
        </w:rPr>
        <w:t>。</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4.产出成本</w:t>
      </w:r>
    </w:p>
    <w:p>
      <w:pPr>
        <w:shd w:val="clear" w:color="000000" w:fill="auto"/>
        <w:spacing w:line="560" w:lineRule="exact"/>
        <w:rPr>
          <w:rFonts w:ascii="Times New Roman" w:hAnsi="Times New Roman" w:cs="Times New Roman"/>
        </w:rPr>
      </w:pPr>
      <w:r>
        <w:rPr>
          <w:rFonts w:hint="eastAsia" w:ascii="Times New Roman" w:hAnsi="Times New Roman" w:cs="Times New Roman"/>
        </w:rPr>
        <w:t xml:space="preserve">    委局</w:t>
      </w:r>
      <w:r>
        <w:rPr>
          <w:rFonts w:ascii="Times New Roman" w:hAnsi="Times New Roman" w:cs="Times New Roman"/>
        </w:rPr>
        <w:t>2022年</w:t>
      </w:r>
      <w:r>
        <w:rPr>
          <w:rFonts w:ascii="Times New Roman" w:hAnsi="Times New Roman" w:cs="Times New Roman"/>
          <w:color w:val="000000"/>
          <w:kern w:val="0"/>
        </w:rPr>
        <w:t>厉行节约、严控成本，</w:t>
      </w:r>
      <w:r>
        <w:rPr>
          <w:rFonts w:ascii="Times New Roman" w:hAnsi="Times New Roman" w:cs="Times New Roman"/>
        </w:rPr>
        <w:t>重点落实了</w:t>
      </w:r>
      <w:r>
        <w:rPr>
          <w:rFonts w:hint="eastAsia" w:ascii="Times New Roman" w:hAnsi="Times New Roman" w:cs="Times New Roman"/>
        </w:rPr>
        <w:t>如下</w:t>
      </w:r>
      <w:r>
        <w:rPr>
          <w:rFonts w:ascii="Times New Roman" w:hAnsi="Times New Roman" w:cs="Times New Roman"/>
        </w:rPr>
        <w:t>成本控制举措</w:t>
      </w:r>
      <w:r>
        <w:rPr>
          <w:rFonts w:hint="eastAsia" w:ascii="Times New Roman" w:hAnsi="Times New Roman" w:cs="Times New Roman"/>
        </w:rPr>
        <w:t>：</w:t>
      </w:r>
      <w:r>
        <w:rPr>
          <w:rFonts w:ascii="Times New Roman" w:hAnsi="Times New Roman" w:cs="Times New Roman"/>
        </w:rPr>
        <w:t>一是建立预算项目事前联合审查</w:t>
      </w:r>
      <w:r>
        <w:rPr>
          <w:rFonts w:hint="eastAsia" w:ascii="Times New Roman" w:hAnsi="Times New Roman" w:cs="Times New Roman"/>
        </w:rPr>
        <w:t>及</w:t>
      </w:r>
      <w:r>
        <w:rPr>
          <w:rFonts w:ascii="Times New Roman" w:hAnsi="Times New Roman" w:cs="Times New Roman"/>
        </w:rPr>
        <w:t>执行调度督导机制，强化风险防范意识，提高财政资金使用效益</w:t>
      </w:r>
      <w:r>
        <w:rPr>
          <w:rFonts w:hint="eastAsia" w:ascii="Times New Roman" w:hAnsi="Times New Roman" w:cs="Times New Roman"/>
        </w:rPr>
        <w:t>；二</w:t>
      </w:r>
      <w:r>
        <w:rPr>
          <w:rFonts w:ascii="Times New Roman" w:hAnsi="Times New Roman" w:cs="Times New Roman"/>
        </w:rPr>
        <w:t>是强化政府购买服务管理，</w:t>
      </w:r>
      <w:r>
        <w:rPr>
          <w:rFonts w:hint="eastAsia" w:ascii="Times New Roman" w:hAnsi="Times New Roman" w:cs="Times New Roman"/>
        </w:rPr>
        <w:t>先后制定</w:t>
      </w:r>
      <w:r>
        <w:rPr>
          <w:rFonts w:ascii="Times New Roman" w:hAnsi="Times New Roman" w:cs="Times New Roman"/>
        </w:rPr>
        <w:t>印发《委局政府购买服务负面清单》《委局政府购买服务指导性目录（2022年修订版）》，</w:t>
      </w:r>
      <w:r>
        <w:rPr>
          <w:rFonts w:ascii="Times New Roman" w:hAnsi="Times New Roman" w:cs="Times New Roman"/>
          <w:color w:val="000000"/>
          <w:kern w:val="0"/>
        </w:rPr>
        <w:t>强化清单约束性，明晰委托边界，压实管理职责；</w:t>
      </w:r>
      <w:r>
        <w:rPr>
          <w:rFonts w:hint="eastAsia" w:ascii="Times New Roman" w:hAnsi="Times New Roman" w:cs="Times New Roman"/>
          <w:color w:val="000000"/>
          <w:kern w:val="0"/>
        </w:rPr>
        <w:t>三</w:t>
      </w:r>
      <w:r>
        <w:rPr>
          <w:rFonts w:ascii="Times New Roman" w:hAnsi="Times New Roman" w:cs="Times New Roman"/>
          <w:color w:val="000000"/>
          <w:kern w:val="0"/>
        </w:rPr>
        <w:t>是</w:t>
      </w:r>
      <w:r>
        <w:rPr>
          <w:rFonts w:ascii="Times New Roman" w:hAnsi="Times New Roman" w:cs="Times New Roman"/>
          <w:color w:val="000000"/>
        </w:rPr>
        <w:t>进一步提升预算编审的科学性、准确性、规范性，</w:t>
      </w:r>
      <w:r>
        <w:rPr>
          <w:rFonts w:ascii="Times New Roman" w:hAnsi="Times New Roman" w:cs="Times New Roman"/>
          <w:color w:val="000000"/>
          <w:kern w:val="0"/>
        </w:rPr>
        <w:t>落实财政预算“双评审”要求，按照“应评尽评”的原则，</w:t>
      </w:r>
      <w:r>
        <w:rPr>
          <w:rFonts w:ascii="Times New Roman" w:hAnsi="Times New Roman" w:cs="Times New Roman"/>
        </w:rPr>
        <w:t>对</w:t>
      </w:r>
      <w:r>
        <w:rPr>
          <w:rFonts w:ascii="Times New Roman" w:hAnsi="Times New Roman" w:cs="Times New Roman"/>
          <w:color w:val="000000"/>
          <w:kern w:val="0"/>
        </w:rPr>
        <w:t>86个</w:t>
      </w:r>
      <w:r>
        <w:rPr>
          <w:rFonts w:ascii="Times New Roman" w:hAnsi="Times New Roman" w:cs="Times New Roman"/>
        </w:rPr>
        <w:t>项目</w:t>
      </w:r>
      <w:r>
        <w:rPr>
          <w:rFonts w:hint="eastAsia" w:ascii="Times New Roman" w:hAnsi="Times New Roman" w:cs="Times New Roman"/>
        </w:rPr>
        <w:t>的</w:t>
      </w:r>
      <w:r>
        <w:rPr>
          <w:rFonts w:ascii="Times New Roman" w:hAnsi="Times New Roman" w:cs="Times New Roman"/>
        </w:rPr>
        <w:t>预算资金开展评审工作，涉及</w:t>
      </w:r>
      <w:r>
        <w:rPr>
          <w:rFonts w:ascii="Times New Roman" w:hAnsi="Times New Roman" w:cs="Times New Roman"/>
          <w:color w:val="000000"/>
          <w:kern w:val="0"/>
        </w:rPr>
        <w:t>资金1.89亿元，整体审减率达4.15%；</w:t>
      </w:r>
      <w:r>
        <w:rPr>
          <w:rFonts w:hint="eastAsia" w:ascii="Times New Roman" w:hAnsi="Times New Roman" w:cs="Times New Roman"/>
          <w:color w:val="000000"/>
          <w:kern w:val="0"/>
        </w:rPr>
        <w:t>四</w:t>
      </w:r>
      <w:r>
        <w:rPr>
          <w:rFonts w:ascii="Times New Roman" w:hAnsi="Times New Roman" w:cs="Times New Roman"/>
          <w:color w:val="000000"/>
          <w:kern w:val="0"/>
        </w:rPr>
        <w:t>是</w:t>
      </w:r>
      <w:r>
        <w:rPr>
          <w:rFonts w:ascii="Times New Roman" w:hAnsi="Times New Roman" w:cs="Times New Roman"/>
        </w:rPr>
        <w:t>开展项目成本预算绩效分析工作，将</w:t>
      </w:r>
      <w:r>
        <w:rPr>
          <w:rFonts w:hint="eastAsia" w:ascii="Times New Roman" w:hAnsi="Times New Roman" w:cs="Times New Roman"/>
        </w:rPr>
        <w:t>过</w:t>
      </w:r>
      <w:r>
        <w:rPr>
          <w:rFonts w:ascii="Times New Roman" w:hAnsi="Times New Roman" w:cs="Times New Roman"/>
        </w:rPr>
        <w:t>“紧日子”落到实处，实现了降本增效。</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总体来看，部门整体成本控制情况较好，各项经费支出符合部门履职范围，部门总体资金支出控制在预算范围内，未出现超支情况。</w:t>
      </w:r>
    </w:p>
    <w:p>
      <w:pPr>
        <w:pStyle w:val="3"/>
        <w:shd w:val="clear" w:color="010000" w:fill="auto"/>
        <w:ind w:firstLine="640"/>
        <w:rPr>
          <w:rFonts w:ascii="Times New Roman" w:hAnsi="Times New Roman" w:cs="Times New Roman"/>
        </w:rPr>
      </w:pPr>
      <w:r>
        <w:rPr>
          <w:rFonts w:ascii="Times New Roman" w:hAnsi="Times New Roman" w:cs="Times New Roman"/>
        </w:rPr>
        <w:t>（二）效果实现情况分析</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1.社会效益</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委局</w:t>
      </w:r>
      <w:r>
        <w:rPr>
          <w:rFonts w:ascii="Times New Roman" w:hAnsi="Times New Roman" w:cs="Times New Roman"/>
        </w:rPr>
        <w:t>通过加强党对社会建设和民政事业的全面领导、健全完善养老服务体系、健全基本民生保障体系、优化基本社会服务供给、深化基层社会治理体系等工作的落实，有效提升了民生保障水平和基本社会服务能力。具体表现如下：</w:t>
      </w:r>
    </w:p>
    <w:p>
      <w:pPr>
        <w:shd w:val="clear" w:color="000000" w:fill="auto"/>
        <w:spacing w:line="560" w:lineRule="exact"/>
        <w:ind w:firstLine="642" w:firstLineChars="200"/>
        <w:rPr>
          <w:rFonts w:ascii="Times New Roman" w:hAnsi="Times New Roman" w:cs="Times New Roman"/>
          <w:b/>
          <w:bCs/>
        </w:rPr>
      </w:pPr>
      <w:r>
        <w:rPr>
          <w:rFonts w:ascii="Times New Roman" w:hAnsi="Times New Roman" w:cs="Times New Roman"/>
          <w:b/>
          <w:bCs/>
        </w:rPr>
        <w:t>（1）</w:t>
      </w:r>
      <w:r>
        <w:rPr>
          <w:rFonts w:ascii="Times New Roman" w:hAnsi="Times New Roman" w:cs="Times New Roman"/>
          <w:b/>
          <w:bCs/>
          <w:szCs w:val="24"/>
        </w:rPr>
        <w:t>养老服务体系日益完善</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全力推进创新居家养老服务模式的研究、论证和攻关，在西城区广内街道开展试点，探索形成了98项服务清单及居家养老照护服务规范，加快推动机构养老和居家社区养老协调发展，为全面重塑养老服务体制机制奠定了坚实基础。</w:t>
      </w:r>
      <w:r>
        <w:rPr>
          <w:rFonts w:ascii="Times New Roman" w:hAnsi="Times New Roman" w:cs="Times New Roman"/>
          <w:szCs w:val="24"/>
        </w:rPr>
        <w:t>养老服务机构抵御意外风险能力不断提高，居家养老和机构投保床位167846张。坚决取消不合理的失能老年人护理补贴消费限制，调整优化老年人能力评估办法，全面强化养老服务综合监管，加快推进养老服务标准化建设。截至2022年</w:t>
      </w:r>
      <w:r>
        <w:rPr>
          <w:rFonts w:hint="eastAsia" w:ascii="Times New Roman" w:hAnsi="Times New Roman" w:cs="Times New Roman"/>
          <w:szCs w:val="24"/>
        </w:rPr>
        <w:t>，</w:t>
      </w:r>
      <w:r>
        <w:rPr>
          <w:rFonts w:ascii="Times New Roman" w:hAnsi="Times New Roman" w:cs="Times New Roman"/>
          <w:szCs w:val="24"/>
        </w:rPr>
        <w:t>北京市累计建成运营养老机构571家、社区养老服务驿站1424家、养老家庭照护床位近1万张，发展养老助餐点1168个，“三边四级”就近精准养老服务体系日益完善。</w:t>
      </w:r>
    </w:p>
    <w:p>
      <w:pPr>
        <w:shd w:val="clear" w:color="000000" w:fill="auto"/>
        <w:spacing w:line="560" w:lineRule="exact"/>
        <w:ind w:firstLine="642" w:firstLineChars="200"/>
        <w:rPr>
          <w:rFonts w:ascii="Times New Roman" w:hAnsi="Times New Roman" w:cs="Times New Roman"/>
          <w:b/>
          <w:bCs/>
        </w:rPr>
      </w:pPr>
      <w:r>
        <w:rPr>
          <w:rFonts w:ascii="Times New Roman" w:hAnsi="Times New Roman" w:cs="Times New Roman"/>
          <w:b/>
          <w:bCs/>
        </w:rPr>
        <w:t>（2）</w:t>
      </w:r>
      <w:r>
        <w:rPr>
          <w:rFonts w:ascii="Times New Roman" w:hAnsi="Times New Roman" w:cs="Times New Roman"/>
          <w:b/>
          <w:bCs/>
          <w:szCs w:val="24"/>
        </w:rPr>
        <w:t>基本民生保障不断加强</w:t>
      </w:r>
    </w:p>
    <w:p>
      <w:pPr>
        <w:shd w:val="clear" w:color="000000" w:fill="auto"/>
        <w:spacing w:line="560" w:lineRule="exact"/>
        <w:ind w:firstLine="640" w:firstLineChars="200"/>
        <w:rPr>
          <w:rFonts w:ascii="Times New Roman" w:hAnsi="Times New Roman" w:cs="Times New Roman"/>
          <w:szCs w:val="24"/>
        </w:rPr>
      </w:pPr>
      <w:r>
        <w:rPr>
          <w:rFonts w:ascii="Times New Roman" w:hAnsi="Times New Roman" w:cs="Times New Roman"/>
          <w:szCs w:val="24"/>
        </w:rPr>
        <w:t>2022年推动社会救助审核确认权下放，提高低保、特困救助标准，建立残疾人“两项补贴”主动服务机制，扎实推进“精康融合行动”，出台未成年人保护三年行动计划，印发儿童福利和保护机构高质量发展实施方案，建立困境儿童生活费自然增长机制，开展全市流浪乞讨人员集中救助，建立征地超转人员生活补助增长机制，优化医疗保障待遇等工作，进一步加强了基本民生保障。</w:t>
      </w:r>
    </w:p>
    <w:p>
      <w:pPr>
        <w:shd w:val="clear" w:color="000000" w:fill="auto"/>
        <w:spacing w:line="560" w:lineRule="exact"/>
        <w:ind w:firstLine="642" w:firstLineChars="200"/>
        <w:rPr>
          <w:rFonts w:ascii="Times New Roman" w:hAnsi="Times New Roman" w:cs="Times New Roman"/>
          <w:b/>
          <w:bCs/>
        </w:rPr>
      </w:pPr>
      <w:r>
        <w:rPr>
          <w:rFonts w:ascii="Times New Roman" w:hAnsi="Times New Roman" w:cs="Times New Roman"/>
          <w:b/>
          <w:bCs/>
        </w:rPr>
        <w:t>（3）</w:t>
      </w:r>
      <w:r>
        <w:rPr>
          <w:rFonts w:ascii="Times New Roman" w:hAnsi="Times New Roman" w:cs="Times New Roman"/>
          <w:b/>
          <w:bCs/>
          <w:szCs w:val="24"/>
        </w:rPr>
        <w:t>基本社会服务供给持续优化</w:t>
      </w:r>
    </w:p>
    <w:p>
      <w:pPr>
        <w:shd w:val="clear" w:color="000000" w:fill="auto"/>
        <w:spacing w:line="560" w:lineRule="exact"/>
        <w:ind w:firstLine="640" w:firstLineChars="200"/>
        <w:rPr>
          <w:rFonts w:ascii="Times New Roman" w:hAnsi="Times New Roman" w:cs="Times New Roman"/>
          <w:szCs w:val="24"/>
        </w:rPr>
      </w:pPr>
      <w:r>
        <w:rPr>
          <w:rFonts w:ascii="Times New Roman" w:hAnsi="Times New Roman" w:cs="Times New Roman"/>
          <w:szCs w:val="24"/>
        </w:rPr>
        <w:t>2022年通过推进婚姻登记机关规范化建设，出台婚俗改革实施意见，加强殡葬领域突出问题整治，优化太平间和殡仪馆服务对接机制，加强社会心理研究，新建一批基层社会心理服务站点，印发《北京市“十四五”城乡社区服务体系建设规划》，推进社区之家、开放式空间建设等工作，持续优化了基本社会服务供给。</w:t>
      </w:r>
    </w:p>
    <w:p>
      <w:pPr>
        <w:shd w:val="clear" w:color="000000" w:fill="auto"/>
        <w:spacing w:line="560" w:lineRule="exact"/>
        <w:ind w:firstLine="642" w:firstLineChars="200"/>
        <w:rPr>
          <w:rFonts w:ascii="Times New Roman" w:hAnsi="Times New Roman" w:cs="Times New Roman"/>
          <w:b/>
          <w:bCs/>
        </w:rPr>
      </w:pPr>
      <w:r>
        <w:rPr>
          <w:rFonts w:ascii="Times New Roman" w:hAnsi="Times New Roman" w:cs="Times New Roman"/>
          <w:b/>
          <w:bCs/>
        </w:rPr>
        <w:t>（4）</w:t>
      </w:r>
      <w:r>
        <w:rPr>
          <w:rFonts w:ascii="Times New Roman" w:hAnsi="Times New Roman" w:cs="Times New Roman"/>
          <w:b/>
          <w:bCs/>
          <w:szCs w:val="24"/>
        </w:rPr>
        <w:t>基层治理水平不断提高</w:t>
      </w:r>
    </w:p>
    <w:p>
      <w:pPr>
        <w:shd w:val="clear" w:color="000000" w:fill="auto"/>
        <w:spacing w:line="560" w:lineRule="exact"/>
        <w:ind w:firstLine="640" w:firstLineChars="200"/>
        <w:rPr>
          <w:rFonts w:ascii="Times New Roman" w:hAnsi="Times New Roman" w:cs="Times New Roman"/>
          <w:szCs w:val="24"/>
        </w:rPr>
      </w:pPr>
      <w:r>
        <w:rPr>
          <w:rFonts w:ascii="Times New Roman" w:hAnsi="Times New Roman" w:cs="Times New Roman"/>
          <w:szCs w:val="24"/>
        </w:rPr>
        <w:t>2022年出台了《关于加强基层治理体系和治理能力现代化建设的实施意见》，建成了530个基层民主协商示范点，并大力扩充社区工作力量，修订出台社区工作者管理办法和工资待遇实施办法，进一步完善社区工作者职业体系。此外，稳妥完成了285个社区优化调整，</w:t>
      </w:r>
      <w:r>
        <w:rPr>
          <w:rFonts w:hint="eastAsia" w:ascii="Times New Roman" w:hAnsi="Times New Roman" w:cs="Times New Roman"/>
          <w:szCs w:val="24"/>
        </w:rPr>
        <w:t>以及</w:t>
      </w:r>
      <w:r>
        <w:rPr>
          <w:rFonts w:ascii="Times New Roman" w:hAnsi="Times New Roman" w:cs="Times New Roman"/>
          <w:szCs w:val="24"/>
        </w:rPr>
        <w:t>“京民通”和数字化社区建设试点</w:t>
      </w:r>
      <w:r>
        <w:rPr>
          <w:rFonts w:hint="eastAsia" w:ascii="Times New Roman" w:hAnsi="Times New Roman" w:cs="Times New Roman"/>
          <w:szCs w:val="24"/>
        </w:rPr>
        <w:t>相关工作</w:t>
      </w:r>
      <w:r>
        <w:rPr>
          <w:rFonts w:ascii="Times New Roman" w:hAnsi="Times New Roman" w:cs="Times New Roman"/>
          <w:szCs w:val="24"/>
        </w:rPr>
        <w:t>，有序推进了行政区划优化调整和行政区域界线管理工作，一定程度上提高了北京市基层治理水平。</w:t>
      </w:r>
    </w:p>
    <w:p>
      <w:pPr>
        <w:shd w:val="clear" w:color="000000" w:fill="auto"/>
        <w:spacing w:line="560" w:lineRule="exact"/>
        <w:ind w:firstLine="642" w:firstLineChars="200"/>
        <w:rPr>
          <w:rFonts w:ascii="Times New Roman" w:hAnsi="Times New Roman" w:cs="Times New Roman"/>
          <w:b/>
          <w:bCs/>
        </w:rPr>
      </w:pPr>
      <w:r>
        <w:rPr>
          <w:rFonts w:ascii="Times New Roman" w:hAnsi="Times New Roman" w:cs="Times New Roman"/>
          <w:b/>
          <w:bCs/>
        </w:rPr>
        <w:t>（5）</w:t>
      </w:r>
      <w:r>
        <w:rPr>
          <w:rFonts w:ascii="Times New Roman" w:hAnsi="Times New Roman" w:cs="Times New Roman"/>
          <w:b/>
          <w:bCs/>
          <w:szCs w:val="24"/>
        </w:rPr>
        <w:t>社会领域党的领导全面加强</w:t>
      </w:r>
    </w:p>
    <w:p>
      <w:pPr>
        <w:shd w:val="clear" w:color="000000" w:fill="auto"/>
        <w:spacing w:line="560" w:lineRule="exact"/>
        <w:ind w:firstLine="640" w:firstLineChars="200"/>
        <w:rPr>
          <w:rFonts w:ascii="Times New Roman" w:hAnsi="Times New Roman" w:cs="Times New Roman"/>
          <w:szCs w:val="24"/>
        </w:rPr>
      </w:pPr>
      <w:r>
        <w:rPr>
          <w:rFonts w:ascii="Times New Roman" w:hAnsi="Times New Roman" w:cs="Times New Roman"/>
          <w:szCs w:val="24"/>
        </w:rPr>
        <w:t>2022年</w:t>
      </w:r>
      <w:r>
        <w:rPr>
          <w:rFonts w:hint="eastAsia" w:ascii="Times New Roman" w:hAnsi="Times New Roman" w:cs="Times New Roman"/>
          <w:szCs w:val="24"/>
        </w:rPr>
        <w:t>委局</w:t>
      </w:r>
      <w:r>
        <w:rPr>
          <w:rFonts w:ascii="Times New Roman" w:hAnsi="Times New Roman" w:cs="Times New Roman"/>
          <w:szCs w:val="24"/>
        </w:rPr>
        <w:t>高站位推动社会建设统筹，协调推进82项重点任务；持续推进“七有”“五性”监测评价工作；完善党建引领社区治理组织体系，规范提升100个社区书记工作室，加强社区党建工作协调委员会建设；创新社会组织党建体制机制，试点组建行业党委，探索推进党员和党组织属地化管理</w:t>
      </w:r>
      <w:r>
        <w:rPr>
          <w:rFonts w:hint="eastAsia" w:ascii="Times New Roman" w:hAnsi="Times New Roman" w:cs="Times New Roman"/>
          <w:szCs w:val="24"/>
          <w:lang w:eastAsia="zh-CN"/>
        </w:rPr>
        <w:t>，</w:t>
      </w:r>
      <w:r>
        <w:rPr>
          <w:rFonts w:ascii="Times New Roman" w:hAnsi="Times New Roman" w:cs="Times New Roman"/>
        </w:rPr>
        <w:t>压实全面从严治党主体责任，全面加强了社会领域党的领导。</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2.服务对象满意度</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受疫情影响，</w:t>
      </w:r>
      <w:r>
        <w:rPr>
          <w:rFonts w:hint="eastAsia" w:ascii="Times New Roman" w:hAnsi="Times New Roman" w:cs="Times New Roman"/>
        </w:rPr>
        <w:t>委局</w:t>
      </w:r>
      <w:r>
        <w:rPr>
          <w:rFonts w:ascii="Times New Roman" w:hAnsi="Times New Roman" w:cs="Times New Roman"/>
        </w:rPr>
        <w:t>2022年未能开展社会建设和民政工作满意度调查工作，部门</w:t>
      </w:r>
      <w:r>
        <w:rPr>
          <w:rFonts w:hint="eastAsia" w:ascii="Times New Roman" w:hAnsi="Times New Roman" w:cs="Times New Roman"/>
        </w:rPr>
        <w:t>各</w:t>
      </w:r>
      <w:r>
        <w:rPr>
          <w:rFonts w:ascii="Times New Roman" w:hAnsi="Times New Roman" w:cs="Times New Roman"/>
        </w:rPr>
        <w:t>预算项目</w:t>
      </w:r>
      <w:r>
        <w:rPr>
          <w:rFonts w:hint="eastAsia" w:ascii="Times New Roman" w:hAnsi="Times New Roman" w:cs="Times New Roman"/>
        </w:rPr>
        <w:t>的</w:t>
      </w:r>
      <w:r>
        <w:rPr>
          <w:rFonts w:ascii="Times New Roman" w:hAnsi="Times New Roman" w:cs="Times New Roman"/>
        </w:rPr>
        <w:t>服务对象满意度</w:t>
      </w:r>
      <w:r>
        <w:rPr>
          <w:rFonts w:hint="eastAsia" w:ascii="Times New Roman" w:hAnsi="Times New Roman" w:cs="Times New Roman"/>
        </w:rPr>
        <w:t>结果显示</w:t>
      </w:r>
      <w:r>
        <w:rPr>
          <w:rFonts w:ascii="Times New Roman" w:hAnsi="Times New Roman" w:cs="Times New Roman"/>
        </w:rPr>
        <w:t>，公众的满意度程度较好。其中，受助困难群众投诉率为0，社会组织对社会组织服务与管理的满意度达94%；相关未成年人满意度达90%，受培养社工满意度达100%。</w:t>
      </w:r>
    </w:p>
    <w:p>
      <w:pPr>
        <w:pStyle w:val="2"/>
        <w:keepNext/>
        <w:keepLines/>
        <w:shd w:val="clear" w:color="010000" w:fill="auto"/>
        <w:spacing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四、预算管理情况分析</w:t>
      </w:r>
    </w:p>
    <w:p>
      <w:pPr>
        <w:pStyle w:val="3"/>
        <w:shd w:val="clear" w:color="010000" w:fill="auto"/>
        <w:ind w:firstLine="640"/>
        <w:rPr>
          <w:rFonts w:ascii="Times New Roman" w:hAnsi="Times New Roman" w:cs="Times New Roman"/>
        </w:rPr>
      </w:pPr>
      <w:r>
        <w:rPr>
          <w:rFonts w:ascii="Times New Roman" w:hAnsi="Times New Roman" w:cs="Times New Roman"/>
        </w:rPr>
        <w:t>（一）财务管理</w:t>
      </w:r>
    </w:p>
    <w:p>
      <w:pPr>
        <w:pStyle w:val="4"/>
        <w:shd w:val="clear" w:color="010000" w:fill="auto"/>
        <w:spacing w:before="0" w:after="0" w:line="560" w:lineRule="exact"/>
        <w:ind w:firstLine="640" w:firstLineChars="200"/>
        <w:rPr>
          <w:rFonts w:cs="仿宋_GB2312"/>
          <w:b w:val="0"/>
        </w:rPr>
      </w:pPr>
      <w:r>
        <w:rPr>
          <w:rFonts w:hint="eastAsia" w:cs="仿宋_GB2312"/>
          <w:b w:val="0"/>
        </w:rPr>
        <w:t>1.财务管理制度健全性</w:t>
      </w:r>
    </w:p>
    <w:p>
      <w:pPr>
        <w:shd w:val="clear" w:color="000000" w:fill="auto"/>
        <w:spacing w:line="560" w:lineRule="exact"/>
        <w:ind w:firstLine="640" w:firstLineChars="200"/>
        <w:rPr>
          <w:rFonts w:cs="仿宋_GB2312"/>
        </w:rPr>
      </w:pPr>
      <w:r>
        <w:rPr>
          <w:rFonts w:hint="eastAsia" w:cs="仿宋_GB2312"/>
        </w:rPr>
        <w:t>委局严格贯彻落实中央和北京市各项财务管理法律法规及制度要求，结合工作实际，围绕预算管理、转移支付管理、政府购买服务等领域，新制定出台多项内部管理制度，编印《委局内部控制手册》。</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2.资金使用合规性和安全性</w:t>
      </w:r>
    </w:p>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资金使用和监管方面，</w:t>
      </w:r>
      <w:r>
        <w:rPr>
          <w:rFonts w:ascii="Times New Roman" w:hAnsi="Times New Roman" w:cs="Times New Roman"/>
        </w:rPr>
        <w:t>严格</w:t>
      </w:r>
      <w:r>
        <w:rPr>
          <w:rFonts w:hint="eastAsia" w:ascii="Times New Roman" w:hAnsi="Times New Roman" w:cs="Times New Roman"/>
        </w:rPr>
        <w:t>落实</w:t>
      </w:r>
      <w:r>
        <w:rPr>
          <w:rFonts w:ascii="Times New Roman" w:hAnsi="Times New Roman" w:cs="Times New Roman"/>
        </w:rPr>
        <w:t>委局《预算资金管理办法》</w:t>
      </w:r>
      <w:r>
        <w:rPr>
          <w:rFonts w:hint="eastAsia" w:ascii="Times New Roman" w:hAnsi="Times New Roman" w:cs="Times New Roman"/>
        </w:rPr>
        <w:t>和</w:t>
      </w:r>
      <w:r>
        <w:rPr>
          <w:rFonts w:ascii="Times New Roman" w:hAnsi="Times New Roman" w:cs="Times New Roman"/>
        </w:rPr>
        <w:t>重大支出集体研究制度，年度资金分配履行了相关报批手续，</w:t>
      </w:r>
      <w:r>
        <w:rPr>
          <w:rFonts w:hint="eastAsia" w:ascii="Times New Roman" w:hAnsi="Times New Roman" w:cs="Times New Roman"/>
        </w:rPr>
        <w:t>针对</w:t>
      </w:r>
      <w:r>
        <w:rPr>
          <w:rFonts w:ascii="Times New Roman" w:hAnsi="Times New Roman" w:cs="Times New Roman"/>
        </w:rPr>
        <w:t>专项资金使用建立了专户核算、统一管理制度。会计核算方面，对项目资金进行单独建账、独立核算，各项会计凭证资料保存完整、装订规范。</w:t>
      </w:r>
    </w:p>
    <w:p>
      <w:pPr>
        <w:pStyle w:val="4"/>
        <w:shd w:val="clear" w:color="010000" w:fill="auto"/>
        <w:spacing w:before="0" w:after="0" w:line="560" w:lineRule="exact"/>
        <w:ind w:firstLine="640" w:firstLineChars="200"/>
        <w:rPr>
          <w:rFonts w:ascii="Times New Roman" w:hAnsi="Times New Roman" w:cs="Times New Roman"/>
          <w:b w:val="0"/>
        </w:rPr>
      </w:pPr>
      <w:r>
        <w:rPr>
          <w:rFonts w:ascii="Times New Roman" w:hAnsi="Times New Roman" w:cs="Times New Roman"/>
          <w:b w:val="0"/>
        </w:rPr>
        <w:t>3.会计基础信息完善性</w:t>
      </w:r>
    </w:p>
    <w:p>
      <w:pPr>
        <w:shd w:val="clear" w:color="000000" w:fill="auto"/>
        <w:spacing w:line="560" w:lineRule="exact"/>
        <w:ind w:firstLine="640" w:firstLineChars="200"/>
        <w:rPr>
          <w:rFonts w:ascii="Times New Roman" w:hAnsi="Times New Roman" w:cs="Times New Roman"/>
        </w:rPr>
      </w:pPr>
      <w:r>
        <w:rPr>
          <w:rFonts w:hint="eastAsia" w:ascii="Times New Roman" w:hAnsi="Times New Roman" w:cs="Times New Roman"/>
        </w:rPr>
        <w:t>委局</w:t>
      </w:r>
      <w:r>
        <w:rPr>
          <w:rFonts w:ascii="Times New Roman" w:hAnsi="Times New Roman" w:cs="Times New Roman"/>
        </w:rPr>
        <w:t>严格按照《行政单位会计制度》等要求编制财务资料，部门决算报表、会计记账凭证等基础数据信息和会计信息资料较为完整，未发现基础数据、会计资料不准确、不真实的情况。</w:t>
      </w:r>
    </w:p>
    <w:p>
      <w:pPr>
        <w:pStyle w:val="3"/>
        <w:shd w:val="clear" w:color="010000" w:fill="auto"/>
        <w:ind w:firstLine="640"/>
        <w:rPr>
          <w:rFonts w:ascii="Times New Roman" w:hAnsi="Times New Roman" w:cs="Times New Roman"/>
        </w:rPr>
      </w:pPr>
      <w:r>
        <w:rPr>
          <w:rFonts w:ascii="Times New Roman" w:hAnsi="Times New Roman" w:cs="Times New Roman"/>
        </w:rPr>
        <w:t>（二）资产管理</w:t>
      </w:r>
    </w:p>
    <w:p>
      <w:pPr>
        <w:shd w:val="clear" w:color="000000" w:fill="auto"/>
        <w:spacing w:line="560" w:lineRule="exact"/>
        <w:ind w:firstLine="640" w:firstLineChars="200"/>
        <w:rPr>
          <w:rFonts w:cs="仿宋_GB2312"/>
        </w:rPr>
      </w:pPr>
      <w:r>
        <w:rPr>
          <w:rFonts w:cs="仿宋_GB2312"/>
        </w:rPr>
        <w:t>为加强资产管理，制定了《国有资产管理暂行办法》，明确了资产管理部门及职责、资产配置、资产管理、资产处置、资产出租出借、资产评估与清查、资产信息管理与报告等相关要求。其中，计划财务处负责</w:t>
      </w:r>
      <w:r>
        <w:rPr>
          <w:rFonts w:hint="eastAsia" w:cs="仿宋_GB2312"/>
        </w:rPr>
        <w:t>审核委</w:t>
      </w:r>
      <w:r>
        <w:rPr>
          <w:rFonts w:cs="仿宋_GB2312"/>
        </w:rPr>
        <w:t>局所属单位资产购置计划和购置预算及本级资产财务账的设置与管理</w:t>
      </w:r>
      <w:r>
        <w:rPr>
          <w:rFonts w:hint="eastAsia" w:cs="仿宋_GB2312"/>
        </w:rPr>
        <w:t>；</w:t>
      </w:r>
      <w:r>
        <w:rPr>
          <w:rFonts w:cs="仿宋_GB2312"/>
        </w:rPr>
        <w:t>行政保卫处负责委局所属土地、房屋及构筑物、车辆等国有资产配置、管理、处置的审核和监督，以及</w:t>
      </w:r>
      <w:r>
        <w:rPr>
          <w:rFonts w:hint="eastAsia" w:cs="仿宋_GB2312"/>
        </w:rPr>
        <w:t>委</w:t>
      </w:r>
      <w:r>
        <w:rPr>
          <w:rFonts w:cs="仿宋_GB2312"/>
        </w:rPr>
        <w:t>局所属单位利用土地、房屋及构筑物等资产对外投资、出租、出借等事项的审核和监督；标准与信息化处负责委局所属单位信息化项目建设过程中产生的国有资产配置、管理、处置等事项的审核与监督。2022</w:t>
      </w:r>
      <w:r>
        <w:rPr>
          <w:rFonts w:hint="eastAsia" w:cs="仿宋_GB2312"/>
        </w:rPr>
        <w:t>年度开展了委局机关实物资产盘点、固定资产调拨及报废工作，同时推进了涉改事业单位及转隶单位资产划转工作。</w:t>
      </w:r>
    </w:p>
    <w:p>
      <w:pPr>
        <w:pStyle w:val="3"/>
        <w:shd w:val="clear" w:color="010000" w:fill="auto"/>
        <w:ind w:firstLine="640"/>
        <w:rPr>
          <w:rFonts w:ascii="Times New Roman" w:hAnsi="Times New Roman" w:cs="Times New Roman"/>
        </w:rPr>
      </w:pPr>
      <w:r>
        <w:rPr>
          <w:rFonts w:hint="eastAsia" w:ascii="Times New Roman" w:hAnsi="Times New Roman" w:cs="Times New Roman"/>
        </w:rPr>
        <w:t>（三）绩效管理</w:t>
      </w:r>
    </w:p>
    <w:p>
      <w:pPr>
        <w:spacing w:line="560" w:lineRule="exact"/>
        <w:rPr>
          <w:rFonts w:cs="仿宋_GB2312"/>
          <w:spacing w:val="-4"/>
        </w:rPr>
      </w:pPr>
      <w:r>
        <w:rPr>
          <w:rFonts w:hint="eastAsia" w:ascii="Times New Roman" w:hAnsi="Times New Roman" w:cs="Times New Roman"/>
        </w:rPr>
        <w:t xml:space="preserve">    </w:t>
      </w:r>
      <w:r>
        <w:rPr>
          <w:rFonts w:hint="eastAsia" w:cs="仿宋_GB2312"/>
        </w:rPr>
        <w:t>贯彻落实全面实施预算绩效管理改革的要求，</w:t>
      </w:r>
      <w:r>
        <w:rPr>
          <w:rFonts w:cs="仿宋_GB2312"/>
        </w:rPr>
        <w:t>2022</w:t>
      </w:r>
      <w:r>
        <w:rPr>
          <w:rFonts w:hint="eastAsia" w:cs="仿宋_GB2312"/>
        </w:rPr>
        <w:t>年委局持续压实绩效监督责任，</w:t>
      </w:r>
      <w:r>
        <w:rPr>
          <w:rFonts w:hint="eastAsia" w:cs="仿宋_GB2312"/>
          <w:b/>
          <w:bCs/>
          <w:spacing w:val="-4"/>
        </w:rPr>
        <w:t>一是完成部门整体绩效评价工作。</w:t>
      </w:r>
      <w:r>
        <w:rPr>
          <w:rFonts w:hint="eastAsia" w:cs="仿宋_GB2312"/>
          <w:color w:val="000000"/>
          <w:kern w:val="0"/>
        </w:rPr>
        <w:t>在2021年作为全市首批试点单位开展部门整体绩效评价工作的基础上，</w:t>
      </w:r>
      <w:r>
        <w:rPr>
          <w:rFonts w:hint="eastAsia" w:cs="仿宋_GB2312"/>
        </w:rPr>
        <w:t>今年对部门整体预算执行、绩效目标实现和预算管理情况进行综合“体检”，覆盖委局机关31个职能处室及所属15家预算单位。</w:t>
      </w:r>
      <w:r>
        <w:rPr>
          <w:rFonts w:hint="eastAsia" w:cs="仿宋_GB2312"/>
          <w:b/>
          <w:bCs/>
        </w:rPr>
        <w:t>二是</w:t>
      </w:r>
      <w:r>
        <w:rPr>
          <w:rFonts w:hint="eastAsia" w:cs="仿宋_GB2312"/>
          <w:b/>
          <w:bCs/>
          <w:spacing w:val="-4"/>
        </w:rPr>
        <w:t>推进构建分行业分领域的预算绩效指标体系。</w:t>
      </w:r>
      <w:r>
        <w:rPr>
          <w:rFonts w:hint="eastAsia" w:cs="仿宋_GB2312"/>
          <w:spacing w:val="-4"/>
        </w:rPr>
        <w:t>落实财政要求，对标职责职能、发展规划和年度预算，梳理形成覆盖21类、434项的预算支出核心指标及绩效标准，已经市财政局审核纳入财政预算一体化系统，实现动态管理。</w:t>
      </w:r>
      <w:r>
        <w:rPr>
          <w:rFonts w:hint="eastAsia" w:cs="仿宋_GB2312"/>
          <w:b/>
          <w:bCs/>
          <w:spacing w:val="-4"/>
        </w:rPr>
        <w:t>三是落实推进全成本预算绩效分析工作。</w:t>
      </w:r>
      <w:r>
        <w:rPr>
          <w:rFonts w:hint="eastAsia" w:cs="仿宋_GB2312"/>
        </w:rPr>
        <w:t>对“市级枢纽型社会组织考核评价补助项目”开展成本绩效分析，持续推动财政资金降本增效。</w:t>
      </w:r>
      <w:r>
        <w:rPr>
          <w:rFonts w:hint="eastAsia" w:cs="仿宋_GB2312"/>
          <w:b/>
          <w:bCs/>
        </w:rPr>
        <w:t>四是完成部门预算</w:t>
      </w:r>
      <w:r>
        <w:rPr>
          <w:rFonts w:hint="eastAsia" w:cs="仿宋_GB2312"/>
          <w:b/>
          <w:bCs/>
          <w:color w:val="000000"/>
        </w:rPr>
        <w:t>项目支出绩效评价。</w:t>
      </w:r>
      <w:r>
        <w:rPr>
          <w:rFonts w:hint="eastAsia" w:cs="仿宋_GB2312"/>
        </w:rPr>
        <w:t>对2021年108个</w:t>
      </w:r>
      <w:r>
        <w:rPr>
          <w:rFonts w:hint="eastAsia" w:cs="仿宋_GB2312"/>
          <w:spacing w:val="-4"/>
        </w:rPr>
        <w:t>预算项目开展“全覆盖”绩效自评；持续采取“多主体联动”模式，人大代表、业界专家共同参与，对2021年“精神病人、危重病人救助经费”、“民政信息安全工作服务项目”开展重点绩效评价。</w:t>
      </w:r>
      <w:r>
        <w:rPr>
          <w:rFonts w:hint="eastAsia" w:cs="仿宋_GB2312"/>
          <w:b/>
          <w:bCs/>
        </w:rPr>
        <w:t>五是持续加强转移支付资金绩效管理。</w:t>
      </w:r>
      <w:r>
        <w:rPr>
          <w:rFonts w:hint="eastAsia" w:cs="仿宋_GB2312"/>
        </w:rPr>
        <w:t>在中央福彩公益金、</w:t>
      </w:r>
      <w:r>
        <w:rPr>
          <w:rFonts w:hint="eastAsia" w:cs="仿宋_GB2312"/>
          <w:color w:val="000000"/>
        </w:rPr>
        <w:t>中央困难群众救助补助资金全覆盖绩效自评的基础上，持续加强转移支付资金绩效管理，不断拓展监督范围，对覆盖16区的养老专项资金及福彩公益金开展绩效自评</w:t>
      </w:r>
      <w:r>
        <w:rPr>
          <w:rFonts w:hint="eastAsia" w:cs="仿宋_GB2312"/>
          <w:spacing w:val="-4"/>
        </w:rPr>
        <w:t>。</w:t>
      </w:r>
    </w:p>
    <w:p>
      <w:pPr>
        <w:pStyle w:val="3"/>
        <w:shd w:val="clear" w:color="010000" w:fill="auto"/>
        <w:ind w:firstLine="640"/>
        <w:rPr>
          <w:rFonts w:ascii="Times New Roman" w:hAnsi="Times New Roman" w:cs="Times New Roman"/>
        </w:rPr>
      </w:pPr>
      <w:r>
        <w:rPr>
          <w:rFonts w:ascii="Times New Roman" w:hAnsi="Times New Roman" w:cs="Times New Roman"/>
        </w:rPr>
        <w:t>（四）结转结余率</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部门</w:t>
      </w:r>
      <w:r>
        <w:rPr>
          <w:rFonts w:ascii="Times New Roman" w:hAnsi="Times New Roman" w:cs="Times New Roman"/>
        </w:rPr>
        <w:t>年末结转结余资金总额为</w:t>
      </w:r>
      <w:r>
        <w:rPr>
          <w:rFonts w:hint="eastAsia" w:ascii="Times New Roman" w:hAnsi="Times New Roman" w:cs="Times New Roman"/>
        </w:rPr>
        <w:t>3025.06</w:t>
      </w:r>
      <w:r>
        <w:rPr>
          <w:rFonts w:ascii="Times New Roman" w:hAnsi="Times New Roman" w:cs="Times New Roman"/>
        </w:rPr>
        <w:t>万元，全年支出预算数为</w:t>
      </w:r>
      <w:r>
        <w:rPr>
          <w:rFonts w:hint="eastAsia" w:ascii="Times New Roman" w:hAnsi="Times New Roman" w:cs="Times New Roman"/>
        </w:rPr>
        <w:t>78832.35</w:t>
      </w:r>
      <w:r>
        <w:rPr>
          <w:rFonts w:ascii="Times New Roman" w:hAnsi="Times New Roman" w:cs="Times New Roman"/>
        </w:rPr>
        <w:t>万元，资金结转结余率为</w:t>
      </w:r>
      <w:r>
        <w:rPr>
          <w:rFonts w:hint="eastAsia" w:ascii="Times New Roman" w:hAnsi="Times New Roman" w:cs="Times New Roman"/>
        </w:rPr>
        <w:t>3.84</w:t>
      </w:r>
      <w:r>
        <w:rPr>
          <w:rFonts w:ascii="Times New Roman" w:hAnsi="Times New Roman" w:cs="Times New Roman"/>
        </w:rPr>
        <w:t>%。</w:t>
      </w:r>
    </w:p>
    <w:p>
      <w:pPr>
        <w:pStyle w:val="3"/>
        <w:shd w:val="clear" w:color="010000" w:fill="auto"/>
        <w:ind w:firstLine="640"/>
        <w:rPr>
          <w:rFonts w:ascii="Times New Roman" w:hAnsi="Times New Roman" w:cs="Times New Roman"/>
        </w:rPr>
      </w:pPr>
      <w:r>
        <w:rPr>
          <w:rFonts w:ascii="Times New Roman" w:hAnsi="Times New Roman" w:cs="Times New Roman"/>
        </w:rPr>
        <w:t>（五）部门预决算差异率</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部门</w:t>
      </w:r>
      <w:r>
        <w:rPr>
          <w:rFonts w:ascii="Times New Roman" w:hAnsi="Times New Roman" w:cs="Times New Roman"/>
        </w:rPr>
        <w:t>年初预算数为82652.29万元，年度决算数为</w:t>
      </w:r>
      <w:r>
        <w:rPr>
          <w:rFonts w:hint="eastAsia" w:ascii="Times New Roman" w:hAnsi="Times New Roman" w:cs="Times New Roman"/>
        </w:rPr>
        <w:t>82027.04</w:t>
      </w:r>
      <w:r>
        <w:rPr>
          <w:rFonts w:ascii="Times New Roman" w:hAnsi="Times New Roman" w:cs="Times New Roman"/>
        </w:rPr>
        <w:t>万元，预决算差异率为</w:t>
      </w:r>
      <w:r>
        <w:rPr>
          <w:rFonts w:hint="eastAsia" w:ascii="Times New Roman" w:hAnsi="Times New Roman" w:cs="Times New Roman"/>
        </w:rPr>
        <w:t>0.76</w:t>
      </w:r>
      <w:r>
        <w:rPr>
          <w:rFonts w:ascii="Times New Roman" w:hAnsi="Times New Roman" w:cs="Times New Roman"/>
        </w:rPr>
        <w:t>%</w:t>
      </w:r>
      <w:r>
        <w:rPr>
          <w:rFonts w:hint="eastAsia" w:ascii="Times New Roman" w:hAnsi="Times New Roman" w:cs="Times New Roman"/>
        </w:rPr>
        <w:t>，低于全市平均水平</w:t>
      </w:r>
      <w:r>
        <w:rPr>
          <w:rFonts w:ascii="Times New Roman" w:hAnsi="Times New Roman" w:cs="Times New Roman"/>
        </w:rPr>
        <w:t>。</w:t>
      </w:r>
    </w:p>
    <w:p>
      <w:pPr>
        <w:pStyle w:val="2"/>
        <w:keepNext/>
        <w:keepLines/>
        <w:shd w:val="clear" w:color="010000" w:fill="auto"/>
        <w:spacing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五、总体评价结论</w:t>
      </w:r>
    </w:p>
    <w:p>
      <w:pPr>
        <w:pStyle w:val="3"/>
        <w:shd w:val="clear" w:color="010000" w:fill="auto"/>
        <w:ind w:firstLine="640"/>
        <w:rPr>
          <w:rFonts w:ascii="Times New Roman" w:hAnsi="Times New Roman" w:cs="Times New Roman"/>
        </w:rPr>
      </w:pPr>
      <w:r>
        <w:rPr>
          <w:rFonts w:ascii="Times New Roman" w:hAnsi="Times New Roman" w:cs="Times New Roman"/>
        </w:rPr>
        <w:t>（一）评价得分情况</w:t>
      </w:r>
    </w:p>
    <w:p>
      <w:pPr>
        <w:shd w:val="clear" w:color="000000" w:fill="auto"/>
        <w:spacing w:line="560" w:lineRule="exact"/>
        <w:ind w:firstLine="640" w:firstLineChars="200"/>
        <w:rPr>
          <w:rFonts w:ascii="Times New Roman" w:hAnsi="Times New Roman" w:cs="Times New Roman"/>
        </w:rPr>
      </w:pPr>
      <w:r>
        <w:rPr>
          <w:rFonts w:ascii="Times New Roman" w:hAnsi="Times New Roman" w:cs="Times New Roman"/>
        </w:rPr>
        <w:t>2022年</w:t>
      </w:r>
      <w:r>
        <w:rPr>
          <w:rFonts w:hint="eastAsia" w:ascii="Times New Roman" w:hAnsi="Times New Roman" w:cs="Times New Roman"/>
        </w:rPr>
        <w:t>委局</w:t>
      </w:r>
      <w:r>
        <w:rPr>
          <w:rFonts w:ascii="Times New Roman" w:hAnsi="Times New Roman" w:cs="Times New Roman"/>
        </w:rPr>
        <w:t>部门整体绩效评价得分为96.78分，综合评价等级为“优”，各一级指标得分情况如下表所示：</w:t>
      </w:r>
    </w:p>
    <w:p>
      <w:pPr>
        <w:shd w:val="clear" w:color="000000" w:fill="auto"/>
        <w:adjustRightInd w:val="0"/>
        <w:snapToGrid w:val="0"/>
        <w:spacing w:before="219" w:beforeLines="50"/>
        <w:jc w:val="center"/>
        <w:rPr>
          <w:rFonts w:ascii="Times New Roman" w:hAnsi="Times New Roman" w:eastAsia="黑体" w:cs="Times New Roman"/>
          <w:sz w:val="28"/>
          <w:szCs w:val="28"/>
        </w:rPr>
      </w:pPr>
      <w:r>
        <w:rPr>
          <w:rFonts w:ascii="Times New Roman" w:hAnsi="Times New Roman" w:eastAsia="黑体" w:cs="Times New Roman"/>
          <w:sz w:val="28"/>
          <w:szCs w:val="28"/>
        </w:rPr>
        <w:t>表7  2022年部门整体绩效得分情况表</w:t>
      </w:r>
    </w:p>
    <w:tbl>
      <w:tblPr>
        <w:tblStyle w:val="11"/>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5"/>
        <w:gridCol w:w="1963"/>
        <w:gridCol w:w="1963"/>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3015" w:type="dxa"/>
            <w:vAlign w:val="center"/>
          </w:tcPr>
          <w:p>
            <w:pPr>
              <w:widowControl/>
              <w:shd w:val="clear" w:color="010000" w:fill="auto"/>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一级指标</w:t>
            </w:r>
          </w:p>
        </w:tc>
        <w:tc>
          <w:tcPr>
            <w:tcW w:w="1963" w:type="dxa"/>
            <w:vAlign w:val="center"/>
          </w:tcPr>
          <w:p>
            <w:pPr>
              <w:widowControl/>
              <w:shd w:val="clear" w:color="010000" w:fill="auto"/>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分值</w:t>
            </w:r>
          </w:p>
        </w:tc>
        <w:tc>
          <w:tcPr>
            <w:tcW w:w="1963" w:type="dxa"/>
            <w:vAlign w:val="center"/>
          </w:tcPr>
          <w:p>
            <w:pPr>
              <w:widowControl/>
              <w:shd w:val="clear" w:color="010000" w:fill="auto"/>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得分</w:t>
            </w:r>
          </w:p>
        </w:tc>
        <w:tc>
          <w:tcPr>
            <w:tcW w:w="1894" w:type="dxa"/>
            <w:vAlign w:val="center"/>
          </w:tcPr>
          <w:p>
            <w:pPr>
              <w:widowControl/>
              <w:shd w:val="clear" w:color="010000" w:fill="auto"/>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当年预算执行情况</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20</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18.83</w:t>
            </w:r>
          </w:p>
        </w:tc>
        <w:tc>
          <w:tcPr>
            <w:tcW w:w="1894"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94.15%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整体绩效目标实现情况</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60</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57.95</w:t>
            </w:r>
          </w:p>
        </w:tc>
        <w:tc>
          <w:tcPr>
            <w:tcW w:w="1894"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96.58%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预算管理情况</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20</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20.00</w:t>
            </w:r>
          </w:p>
        </w:tc>
        <w:tc>
          <w:tcPr>
            <w:tcW w:w="1894"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合计</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100</w:t>
            </w:r>
          </w:p>
        </w:tc>
        <w:tc>
          <w:tcPr>
            <w:tcW w:w="1963"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96.78</w:t>
            </w:r>
          </w:p>
        </w:tc>
        <w:tc>
          <w:tcPr>
            <w:tcW w:w="1894" w:type="dxa"/>
            <w:vAlign w:val="center"/>
          </w:tcPr>
          <w:p>
            <w:pPr>
              <w:widowControl/>
              <w:shd w:val="clear" w:color="010000" w:fill="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96.78%</w:t>
            </w:r>
          </w:p>
        </w:tc>
      </w:tr>
    </w:tbl>
    <w:p>
      <w:pPr>
        <w:pStyle w:val="3"/>
        <w:shd w:val="clear" w:color="010000" w:fill="auto"/>
        <w:ind w:firstLine="640"/>
        <w:rPr>
          <w:rFonts w:ascii="Times New Roman" w:hAnsi="Times New Roman" w:cs="Times New Roman"/>
        </w:rPr>
      </w:pPr>
      <w:r>
        <w:rPr>
          <w:rFonts w:ascii="Times New Roman" w:hAnsi="Times New Roman" w:cs="Times New Roman"/>
        </w:rPr>
        <w:t>（二）存在的问题及原因分析</w:t>
      </w:r>
    </w:p>
    <w:p>
      <w:pPr>
        <w:shd w:val="clear" w:color="000000" w:fill="auto"/>
        <w:spacing w:line="560" w:lineRule="exact"/>
        <w:ind w:firstLine="642" w:firstLineChars="200"/>
        <w:rPr>
          <w:rFonts w:ascii="Times New Roman" w:hAnsi="Times New Roman" w:cs="Times New Roman"/>
        </w:rPr>
      </w:pPr>
      <w:r>
        <w:rPr>
          <w:rFonts w:hint="eastAsia" w:ascii="楷体" w:hAnsi="楷体" w:eastAsia="楷体" w:cs="Times New Roman"/>
          <w:b/>
          <w:bCs/>
        </w:rPr>
        <w:t>受疫情影响，部分工作无法实施，预算支出计划及预期效益未充分实现。</w:t>
      </w:r>
      <w:r>
        <w:rPr>
          <w:rFonts w:hint="eastAsia" w:cs="仿宋_GB2312"/>
        </w:rPr>
        <w:t>2022年受限于疫情常态化管理的严峻形势，部分</w:t>
      </w:r>
      <w:r>
        <w:rPr>
          <w:rFonts w:hint="eastAsia" w:ascii="Times New Roman" w:hAnsi="Times New Roman" w:cs="Times New Roman"/>
        </w:rPr>
        <w:t>线下工作开展受阻，如线下督导、入户服务等。年度中期，项目单位根据实际情况对项目预算或项目实施方式进行了相应调整，部分工作仍未能按照计划完成，导致资金无法按计划支出，预期效益未充分实现</w:t>
      </w:r>
      <w:r>
        <w:rPr>
          <w:rFonts w:ascii="Times New Roman" w:hAnsi="Times New Roman" w:cs="Times New Roman"/>
        </w:rPr>
        <w:t>。</w:t>
      </w:r>
    </w:p>
    <w:p>
      <w:pPr>
        <w:pStyle w:val="2"/>
        <w:keepNext/>
        <w:keepLines/>
        <w:numPr>
          <w:ilvl w:val="0"/>
          <w:numId w:val="1"/>
        </w:numPr>
        <w:shd w:val="clear" w:color="010000" w:fill="auto"/>
        <w:spacing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措施建议</w:t>
      </w:r>
    </w:p>
    <w:p>
      <w:pPr>
        <w:pStyle w:val="2"/>
        <w:shd w:val="clear" w:color="010000" w:fill="auto"/>
        <w:ind w:firstLine="640" w:firstLineChars="200"/>
        <w:rPr>
          <w:rFonts w:hint="eastAsia" w:ascii="仿宋_GB2312" w:hAnsi="仿宋_GB2312" w:eastAsia="仿宋_GB2312" w:cs="仿宋_GB2312"/>
          <w:bCs/>
        </w:rPr>
      </w:pPr>
      <w:bookmarkStart w:id="2" w:name="_Toc103006301"/>
      <w:r>
        <w:rPr>
          <w:rFonts w:hint="eastAsia" w:ascii="仿宋_GB2312" w:hAnsi="仿宋_GB2312" w:eastAsia="仿宋_GB2312" w:cs="仿宋_GB2312"/>
          <w:b w:val="0"/>
          <w:bCs/>
        </w:rPr>
        <w:t>进一步加强资金执行进度监控，有效提升资金使用效率性和效益性。</w:t>
      </w:r>
      <w:r>
        <w:rPr>
          <w:rFonts w:hint="eastAsia" w:ascii="仿宋_GB2312" w:hAnsi="仿宋_GB2312" w:eastAsia="仿宋_GB2312" w:cs="仿宋_GB2312"/>
          <w:bCs/>
        </w:rPr>
        <w:t>引导项目单位进一步履行预算执行主体责任，对项目实施过程进行全面把控，保证项目按计划有序推进。同时，持续发挥绩效执行监控在项目监督中的指引作用，对遇特殊情况需调整项目实施内容、技术方案、资金投入规模等，由项目单位提出申请，及时履行预算调整程序，确保财政资金高质量运转。</w:t>
      </w:r>
    </w:p>
    <w:p>
      <w:pPr>
        <w:pStyle w:val="2"/>
        <w:keepNext/>
        <w:keepLines/>
        <w:shd w:val="clear" w:color="010000" w:fill="auto"/>
        <w:spacing w:line="560" w:lineRule="exact"/>
        <w:ind w:firstLineChars="200"/>
        <w:rPr>
          <w:rFonts w:ascii="Times New Roman" w:hAnsi="Times New Roman" w:cs="Times New Roman"/>
          <w:bCs/>
          <w:color w:val="auto"/>
          <w:kern w:val="44"/>
          <w:szCs w:val="44"/>
        </w:rPr>
      </w:pPr>
      <w:r>
        <w:rPr>
          <w:rFonts w:ascii="Times New Roman" w:hAnsi="Times New Roman" w:cs="Times New Roman"/>
          <w:bCs/>
          <w:color w:val="auto"/>
          <w:kern w:val="44"/>
          <w:szCs w:val="44"/>
        </w:rPr>
        <w:t>七、附件</w:t>
      </w:r>
      <w:bookmarkEnd w:id="2"/>
    </w:p>
    <w:p>
      <w:pPr>
        <w:shd w:val="clear" w:color="000000" w:fill="auto"/>
        <w:spacing w:line="560" w:lineRule="exact"/>
        <w:ind w:firstLine="640" w:firstLineChars="200"/>
        <w:rPr>
          <w:rFonts w:ascii="Times New Roman" w:hAnsi="Times New Roman" w:cs="Times New Roman"/>
          <w:szCs w:val="24"/>
        </w:rPr>
        <w:sectPr>
          <w:footerReference r:id="rId4" w:type="default"/>
          <w:footerReference r:id="rId5" w:type="even"/>
          <w:pgSz w:w="11906" w:h="16838"/>
          <w:pgMar w:top="2098" w:right="1474" w:bottom="1984" w:left="1587" w:header="851" w:footer="992" w:gutter="0"/>
          <w:cols w:space="0" w:num="1"/>
          <w:docGrid w:type="lines" w:linePitch="439" w:charSpace="0"/>
        </w:sectPr>
      </w:pPr>
      <w:r>
        <w:rPr>
          <w:rFonts w:ascii="Times New Roman" w:hAnsi="Times New Roman" w:cs="Times New Roman"/>
          <w:szCs w:val="24"/>
        </w:rPr>
        <w:t>2022年部门整体绩效评价指标体系评分表</w:t>
      </w:r>
      <w:r>
        <w:rPr>
          <w:rFonts w:cs="仿宋_GB2312"/>
          <w:szCs w:val="24"/>
        </w:rPr>
        <w:br w:type="page"/>
      </w:r>
    </w:p>
    <w:p>
      <w:pPr>
        <w:widowControl/>
        <w:jc w:val="left"/>
        <w:rPr>
          <w:rFonts w:cs="仿宋_GB2312"/>
          <w:szCs w:val="24"/>
        </w:rPr>
      </w:pPr>
      <w:r>
        <w:rPr>
          <w:rFonts w:hint="eastAsia" w:cs="仿宋_GB2312"/>
          <w:szCs w:val="24"/>
        </w:rPr>
        <w:t>附件</w:t>
      </w:r>
    </w:p>
    <w:tbl>
      <w:tblPr>
        <w:tblStyle w:val="11"/>
        <w:tblW w:w="14460" w:type="dxa"/>
        <w:jc w:val="center"/>
        <w:tblLayout w:type="fixed"/>
        <w:tblCellMar>
          <w:top w:w="0" w:type="dxa"/>
          <w:left w:w="108" w:type="dxa"/>
          <w:bottom w:w="0" w:type="dxa"/>
          <w:right w:w="108" w:type="dxa"/>
        </w:tblCellMar>
      </w:tblPr>
      <w:tblGrid>
        <w:gridCol w:w="967"/>
        <w:gridCol w:w="971"/>
        <w:gridCol w:w="1393"/>
        <w:gridCol w:w="1161"/>
        <w:gridCol w:w="1017"/>
        <w:gridCol w:w="761"/>
        <w:gridCol w:w="670"/>
        <w:gridCol w:w="2680"/>
        <w:gridCol w:w="4840"/>
      </w:tblGrid>
      <w:tr>
        <w:tblPrEx>
          <w:tblCellMar>
            <w:top w:w="0" w:type="dxa"/>
            <w:left w:w="108" w:type="dxa"/>
            <w:bottom w:w="0" w:type="dxa"/>
            <w:right w:w="108" w:type="dxa"/>
          </w:tblCellMar>
        </w:tblPrEx>
        <w:trPr>
          <w:trHeight w:val="540" w:hRule="atLeast"/>
          <w:jc w:val="center"/>
        </w:trPr>
        <w:tc>
          <w:tcPr>
            <w:tcW w:w="14460" w:type="dxa"/>
            <w:gridSpan w:val="9"/>
            <w:tcBorders>
              <w:top w:val="nil"/>
              <w:left w:val="nil"/>
              <w:bottom w:val="single" w:color="auto" w:sz="4" w:space="0"/>
              <w:right w:val="nil"/>
            </w:tcBorders>
            <w:vAlign w:val="center"/>
          </w:tcPr>
          <w:p>
            <w:pPr>
              <w:widowControl/>
              <w:jc w:val="center"/>
              <w:rPr>
                <w:rFonts w:ascii="方正小标宋简体" w:hAnsi="方正小标宋简体" w:eastAsia="方正小标宋简体"/>
                <w:color w:val="000000"/>
                <w:kern w:val="0"/>
                <w:sz w:val="40"/>
                <w:szCs w:val="40"/>
              </w:rPr>
            </w:pPr>
            <w:r>
              <w:rPr>
                <w:rFonts w:hint="eastAsia" w:ascii="方正小标宋简体" w:hAnsi="方正小标宋简体" w:eastAsia="方正小标宋简体"/>
                <w:color w:val="000000"/>
                <w:kern w:val="0"/>
                <w:sz w:val="40"/>
                <w:szCs w:val="40"/>
              </w:rPr>
              <w:t>北京市民政局2022年部门整体绩效评价指标体系评分表</w:t>
            </w:r>
          </w:p>
        </w:tc>
      </w:tr>
      <w:tr>
        <w:tblPrEx>
          <w:tblCellMar>
            <w:top w:w="0" w:type="dxa"/>
            <w:left w:w="108" w:type="dxa"/>
            <w:bottom w:w="0" w:type="dxa"/>
            <w:right w:w="108" w:type="dxa"/>
          </w:tblCellMar>
        </w:tblPrEx>
        <w:trPr>
          <w:trHeight w:val="320" w:hRule="atLeast"/>
          <w:jc w:val="center"/>
        </w:trPr>
        <w:tc>
          <w:tcPr>
            <w:tcW w:w="14460"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一、当年预算执行情况（20分）</w:t>
            </w:r>
          </w:p>
        </w:tc>
      </w:tr>
      <w:tr>
        <w:tblPrEx>
          <w:tblCellMar>
            <w:top w:w="0" w:type="dxa"/>
            <w:left w:w="108" w:type="dxa"/>
            <w:bottom w:w="0" w:type="dxa"/>
            <w:right w:w="108" w:type="dxa"/>
          </w:tblCellMar>
        </w:tblPrEx>
        <w:trPr>
          <w:trHeight w:val="380"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一级指标　</w:t>
            </w: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二级指标　</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预算数</w:t>
            </w:r>
          </w:p>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（万元）</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执行数</w:t>
            </w:r>
          </w:p>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（万元）</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预算执行率</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分值</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得分</w:t>
            </w:r>
          </w:p>
        </w:tc>
        <w:tc>
          <w:tcPr>
            <w:tcW w:w="268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指标解释</w:t>
            </w:r>
          </w:p>
        </w:tc>
        <w:tc>
          <w:tcPr>
            <w:tcW w:w="48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评分标准</w:t>
            </w:r>
          </w:p>
        </w:tc>
      </w:tr>
      <w:tr>
        <w:tblPrEx>
          <w:tblCellMar>
            <w:top w:w="0" w:type="dxa"/>
            <w:left w:w="108" w:type="dxa"/>
            <w:bottom w:w="0" w:type="dxa"/>
            <w:right w:w="108" w:type="dxa"/>
          </w:tblCellMar>
        </w:tblPrEx>
        <w:trPr>
          <w:trHeight w:val="620" w:hRule="atLeast"/>
          <w:jc w:val="center"/>
        </w:trPr>
        <w:tc>
          <w:tcPr>
            <w:tcW w:w="96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当年预算执行情况（20）</w:t>
            </w: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资金总体</w:t>
            </w:r>
          </w:p>
        </w:tc>
        <w:tc>
          <w:tcPr>
            <w:tcW w:w="1393"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82505.64 </w:t>
            </w:r>
          </w:p>
        </w:tc>
        <w:tc>
          <w:tcPr>
            <w:tcW w:w="1161"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77667.00 </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94.14%</w:t>
            </w:r>
          </w:p>
        </w:tc>
        <w:tc>
          <w:tcPr>
            <w:tcW w:w="7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20</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 xml:space="preserve">18.83 </w:t>
            </w:r>
          </w:p>
        </w:tc>
        <w:tc>
          <w:tcPr>
            <w:tcW w:w="26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部门全年执行数与全年预算数的比率。资金总体=基本支出+项目支出+其他</w:t>
            </w:r>
          </w:p>
        </w:tc>
        <w:tc>
          <w:tcPr>
            <w:tcW w:w="484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2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基本支出</w:t>
            </w:r>
          </w:p>
        </w:tc>
        <w:tc>
          <w:tcPr>
            <w:tcW w:w="1393"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43500.86 </w:t>
            </w:r>
          </w:p>
        </w:tc>
        <w:tc>
          <w:tcPr>
            <w:tcW w:w="1161"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41673.87 </w:t>
            </w:r>
          </w:p>
        </w:tc>
        <w:tc>
          <w:tcPr>
            <w:tcW w:w="10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w:t>
            </w: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62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项目支出</w:t>
            </w:r>
          </w:p>
        </w:tc>
        <w:tc>
          <w:tcPr>
            <w:tcW w:w="1393"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37609.59 </w:t>
            </w:r>
          </w:p>
        </w:tc>
        <w:tc>
          <w:tcPr>
            <w:tcW w:w="1161"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35085.43 </w:t>
            </w:r>
          </w:p>
        </w:tc>
        <w:tc>
          <w:tcPr>
            <w:tcW w:w="10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62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其他</w:t>
            </w:r>
          </w:p>
        </w:tc>
        <w:tc>
          <w:tcPr>
            <w:tcW w:w="1393"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1395.19 </w:t>
            </w:r>
          </w:p>
        </w:tc>
        <w:tc>
          <w:tcPr>
            <w:tcW w:w="1161" w:type="dxa"/>
            <w:tcBorders>
              <w:top w:val="single" w:color="auto" w:sz="4" w:space="0"/>
              <w:left w:val="nil"/>
              <w:bottom w:val="single" w:color="auto" w:sz="4" w:space="0"/>
              <w:right w:val="single" w:color="auto" w:sz="4" w:space="0"/>
            </w:tcBorders>
            <w:vAlign w:val="center"/>
          </w:tcPr>
          <w:p>
            <w:pPr>
              <w:widowControl/>
              <w:jc w:val="right"/>
              <w:rPr>
                <w:rFonts w:ascii="宋体" w:hAnsi="宋体" w:eastAsia="宋体"/>
                <w:color w:val="000000"/>
                <w:kern w:val="0"/>
                <w:sz w:val="18"/>
                <w:szCs w:val="18"/>
              </w:rPr>
            </w:pPr>
            <w:r>
              <w:rPr>
                <w:rFonts w:hint="eastAsia" w:ascii="宋体" w:hAnsi="宋体" w:eastAsia="宋体"/>
                <w:color w:val="000000"/>
                <w:kern w:val="0"/>
                <w:sz w:val="18"/>
                <w:szCs w:val="18"/>
              </w:rPr>
              <w:t xml:space="preserve">907.70 </w:t>
            </w:r>
          </w:p>
        </w:tc>
        <w:tc>
          <w:tcPr>
            <w:tcW w:w="10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420" w:hRule="atLeast"/>
          <w:jc w:val="center"/>
        </w:trPr>
        <w:tc>
          <w:tcPr>
            <w:tcW w:w="14460"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二、整体绩效目标实现情况（60分）</w:t>
            </w:r>
          </w:p>
        </w:tc>
      </w:tr>
      <w:tr>
        <w:tblPrEx>
          <w:tblCellMar>
            <w:top w:w="0" w:type="dxa"/>
            <w:left w:w="108" w:type="dxa"/>
            <w:bottom w:w="0" w:type="dxa"/>
            <w:right w:w="108" w:type="dxa"/>
          </w:tblCellMar>
        </w:tblPrEx>
        <w:trPr>
          <w:trHeight w:val="620"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一级指标</w:t>
            </w: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二级指标　</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三级指标　</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指标值</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完成值</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分值</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得分</w:t>
            </w:r>
          </w:p>
        </w:tc>
        <w:tc>
          <w:tcPr>
            <w:tcW w:w="268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指标解释</w:t>
            </w:r>
          </w:p>
        </w:tc>
        <w:tc>
          <w:tcPr>
            <w:tcW w:w="48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评分标准</w:t>
            </w:r>
          </w:p>
        </w:tc>
      </w:tr>
      <w:tr>
        <w:tblPrEx>
          <w:tblCellMar>
            <w:top w:w="0" w:type="dxa"/>
            <w:left w:w="108" w:type="dxa"/>
            <w:bottom w:w="0" w:type="dxa"/>
            <w:right w:w="108" w:type="dxa"/>
          </w:tblCellMar>
        </w:tblPrEx>
        <w:trPr>
          <w:trHeight w:val="860" w:hRule="atLeast"/>
          <w:jc w:val="center"/>
        </w:trPr>
        <w:tc>
          <w:tcPr>
            <w:tcW w:w="9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整体绩效目标实现情况（60）</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产出（30）</w:t>
            </w: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支持联合党委数量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≥50家</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52家</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产出数量</w:t>
            </w:r>
            <w:r>
              <w:rPr>
                <w:rFonts w:hint="eastAsia" w:ascii="宋体" w:hAnsi="宋体" w:eastAsia="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eastAsia="宋体"/>
                <w:b/>
                <w:bCs/>
                <w:color w:val="000000"/>
                <w:kern w:val="0"/>
                <w:sz w:val="18"/>
                <w:szCs w:val="18"/>
              </w:rPr>
              <w:t>产出质量</w:t>
            </w:r>
            <w:r>
              <w:rPr>
                <w:rFonts w:hint="eastAsia" w:ascii="宋体" w:hAnsi="宋体" w:eastAsia="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eastAsia="宋体"/>
                <w:b/>
                <w:bCs/>
                <w:color w:val="000000"/>
                <w:kern w:val="0"/>
                <w:sz w:val="18"/>
                <w:szCs w:val="18"/>
              </w:rPr>
              <w:t>产出进度：</w:t>
            </w:r>
            <w:r>
              <w:rPr>
                <w:rFonts w:hint="eastAsia" w:ascii="宋体" w:hAnsi="宋体" w:eastAsia="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eastAsia="宋体"/>
                <w:b/>
                <w:bCs/>
                <w:color w:val="000000"/>
                <w:kern w:val="0"/>
                <w:sz w:val="18"/>
                <w:szCs w:val="18"/>
              </w:rPr>
              <w:t>产出成本</w:t>
            </w:r>
            <w:r>
              <w:rPr>
                <w:rFonts w:hint="eastAsia" w:ascii="宋体" w:hAnsi="宋体" w:eastAsia="宋体"/>
                <w:color w:val="000000"/>
                <w:kern w:val="0"/>
                <w:sz w:val="18"/>
                <w:szCs w:val="18"/>
              </w:rPr>
              <w:t>：单位产出相对于上一年度的节约额；②单位产出相对于市场同类产出的节约额；③部门公用经费的控制情况。</w:t>
            </w:r>
          </w:p>
        </w:tc>
        <w:tc>
          <w:tcPr>
            <w:tcW w:w="484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覆盖社会组织数量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≥3000家</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5651家</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支持的市级“枢纽型”社会组织数量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27家</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27家</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支持社会组织党建管理岗位数量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≥300个</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337个</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基层社会工作服务人才能力提升项目参与人数</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≥220人</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400人</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专业社会工作服务人才项目培养人数</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≥100人</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177人</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专业社会工作高级管理人才研修项目参与人数</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≥130人</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410人</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 xml:space="preserve">0.90 </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居家养老和机构投保床位数量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≥126000张</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167846张</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新建养老家庭照护床位数量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2000张</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3682张</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开展市未成年人保护热线线下个案处置时长</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≥300小时</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200小时</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0.67</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5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接济救助服务不定期督导次数</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≥12次</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1次</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0.08</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接济救助服务问询核实人次数</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72人次</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72人次</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社会救助各类救助对象应救尽救率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100%</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100%</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社区干部能力提升示范培训人员数量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600人</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925人</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社区党建管理实施项目数量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3个</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ascii="宋体" w:hAnsi="宋体" w:eastAsia="宋体"/>
                <w:kern w:val="0"/>
                <w:sz w:val="18"/>
                <w:szCs w:val="18"/>
              </w:rPr>
              <w:t>4</w:t>
            </w:r>
            <w:r>
              <w:rPr>
                <w:rFonts w:hint="eastAsia" w:ascii="宋体" w:hAnsi="宋体" w:eastAsia="宋体"/>
                <w:kern w:val="0"/>
                <w:sz w:val="18"/>
                <w:szCs w:val="18"/>
              </w:rPr>
              <w:t>个</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5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骨灰生态葬数量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≥1518份</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1518份</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114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等保三级测评系统、风险评估系统、密码测评系统数量</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5个（套）</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等保三级测评系统、密码测评系统5个；风险评估系统6个</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社会组织服务与管理考评合格率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≥95%</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100%</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救助工作开展与相关政策要求符合度</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100%</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kern w:val="0"/>
                <w:sz w:val="18"/>
                <w:szCs w:val="18"/>
              </w:rPr>
            </w:pPr>
            <w:r>
              <w:rPr>
                <w:rFonts w:hint="eastAsia" w:ascii="宋体" w:hAnsi="宋体" w:eastAsia="宋体"/>
                <w:kern w:val="0"/>
                <w:sz w:val="18"/>
                <w:szCs w:val="18"/>
              </w:rPr>
              <w:t>100%</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信息建设常规检查合格率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≥99%</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99%</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860" w:hRule="atLeast"/>
          <w:jc w:val="center"/>
        </w:trPr>
        <w:tc>
          <w:tcPr>
            <w:tcW w:w="9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shd w:val="clear" w:color="FFFFFF" w:fill="FFFFFF"/>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信息建设安全事件及时处理率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≥99%</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99%</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9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效果（30）</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进一步推广节地生态安葬的殡葬改革理念</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效果优秀</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优秀</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7</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6.3</w:t>
            </w:r>
          </w:p>
        </w:tc>
        <w:tc>
          <w:tcPr>
            <w:tcW w:w="26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经济效益</w:t>
            </w:r>
            <w:r>
              <w:rPr>
                <w:rFonts w:hint="eastAsia" w:ascii="宋体" w:hAnsi="宋体" w:eastAsia="宋体"/>
                <w:color w:val="000000"/>
                <w:kern w:val="0"/>
                <w:sz w:val="18"/>
                <w:szCs w:val="18"/>
              </w:rPr>
              <w:t>：部门（单位）履行职责对经济发展所带来的直接或间接影响。</w:t>
            </w:r>
            <w:r>
              <w:rPr>
                <w:rFonts w:hint="eastAsia" w:ascii="宋体" w:hAnsi="宋体" w:eastAsia="宋体"/>
                <w:b/>
                <w:bCs/>
                <w:color w:val="000000"/>
                <w:kern w:val="0"/>
                <w:sz w:val="18"/>
                <w:szCs w:val="18"/>
              </w:rPr>
              <w:t>社会效益</w:t>
            </w:r>
            <w:r>
              <w:rPr>
                <w:rFonts w:hint="eastAsia" w:ascii="宋体" w:hAnsi="宋体" w:eastAsia="宋体"/>
                <w:color w:val="000000"/>
                <w:kern w:val="0"/>
                <w:sz w:val="18"/>
                <w:szCs w:val="18"/>
              </w:rPr>
              <w:t>：部门（单位）履行职责对社会发展所带来的直接或间接影响。</w:t>
            </w:r>
            <w:r>
              <w:rPr>
                <w:rFonts w:hint="eastAsia" w:ascii="宋体" w:hAnsi="宋体" w:eastAsia="宋体"/>
                <w:b/>
                <w:bCs/>
                <w:color w:val="000000"/>
                <w:kern w:val="0"/>
                <w:sz w:val="18"/>
                <w:szCs w:val="18"/>
              </w:rPr>
              <w:t>环境效益</w:t>
            </w:r>
            <w:r>
              <w:rPr>
                <w:rFonts w:hint="eastAsia" w:ascii="宋体" w:hAnsi="宋体" w:eastAsia="宋体"/>
                <w:color w:val="000000"/>
                <w:kern w:val="0"/>
                <w:sz w:val="18"/>
                <w:szCs w:val="18"/>
              </w:rPr>
              <w:t>：部门（单位）履行职责对环境所带来的直接或间接影响。</w:t>
            </w:r>
            <w:r>
              <w:rPr>
                <w:rFonts w:hint="eastAsia" w:ascii="宋体" w:hAnsi="宋体" w:eastAsia="宋体"/>
                <w:b/>
                <w:bCs/>
                <w:color w:val="000000"/>
                <w:kern w:val="0"/>
                <w:sz w:val="18"/>
                <w:szCs w:val="18"/>
              </w:rPr>
              <w:t>可持续性影响：</w:t>
            </w:r>
            <w:r>
              <w:rPr>
                <w:rFonts w:hint="eastAsia" w:ascii="宋体" w:hAnsi="宋体" w:eastAsia="宋体"/>
                <w:color w:val="000000"/>
                <w:kern w:val="0"/>
                <w:sz w:val="18"/>
                <w:szCs w:val="18"/>
              </w:rPr>
              <w:t>部门绩效目标实现的长效机制建设情况，部门工作效率提升措施的创新。</w:t>
            </w:r>
            <w:r>
              <w:rPr>
                <w:rFonts w:hint="eastAsia" w:ascii="宋体" w:hAnsi="宋体" w:eastAsia="宋体"/>
                <w:b/>
                <w:bCs/>
                <w:color w:val="000000"/>
                <w:kern w:val="0"/>
                <w:sz w:val="18"/>
                <w:szCs w:val="18"/>
              </w:rPr>
              <w:t>服务对象满意度</w:t>
            </w:r>
            <w:r>
              <w:rPr>
                <w:rFonts w:hint="eastAsia" w:ascii="宋体" w:hAnsi="宋体" w:eastAsia="宋体"/>
                <w:color w:val="000000"/>
                <w:kern w:val="0"/>
                <w:sz w:val="18"/>
                <w:szCs w:val="18"/>
              </w:rPr>
              <w:t>：部门（单位）的服务对象对部门履职效果的满意程度。</w:t>
            </w:r>
          </w:p>
        </w:tc>
        <w:tc>
          <w:tcPr>
            <w:tcW w:w="484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9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提升社会组织参与社会治理和服务的能力</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效果优秀</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优秀</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8</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8</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9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养老服务机构抵御意外风险能力不断提高</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效果优秀</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优秀</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8</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8</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68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社会组织满意率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≥85%</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94%</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7</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7</w:t>
            </w:r>
          </w:p>
        </w:tc>
        <w:tc>
          <w:tcPr>
            <w:tcW w:w="2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r>
      <w:tr>
        <w:tblPrEx>
          <w:tblCellMar>
            <w:top w:w="0" w:type="dxa"/>
            <w:left w:w="108" w:type="dxa"/>
            <w:bottom w:w="0" w:type="dxa"/>
            <w:right w:w="108" w:type="dxa"/>
          </w:tblCellMar>
        </w:tblPrEx>
        <w:trPr>
          <w:trHeight w:val="320" w:hRule="atLeast"/>
          <w:jc w:val="center"/>
        </w:trPr>
        <w:tc>
          <w:tcPr>
            <w:tcW w:w="14460"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三、预算管理情况（20分）</w:t>
            </w:r>
          </w:p>
        </w:tc>
      </w:tr>
      <w:tr>
        <w:tblPrEx>
          <w:tblCellMar>
            <w:top w:w="0" w:type="dxa"/>
            <w:left w:w="108" w:type="dxa"/>
            <w:bottom w:w="0" w:type="dxa"/>
            <w:right w:w="108" w:type="dxa"/>
          </w:tblCellMar>
        </w:tblPrEx>
        <w:trPr>
          <w:trHeight w:val="420" w:hRule="atLeast"/>
          <w:jc w:val="center"/>
        </w:trPr>
        <w:tc>
          <w:tcPr>
            <w:tcW w:w="9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一级指标</w:t>
            </w: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二级指标</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三级指标</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指标值</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完成值</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分值</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得分</w:t>
            </w:r>
          </w:p>
        </w:tc>
        <w:tc>
          <w:tcPr>
            <w:tcW w:w="268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指标解释</w:t>
            </w:r>
          </w:p>
        </w:tc>
        <w:tc>
          <w:tcPr>
            <w:tcW w:w="48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评分标准</w:t>
            </w:r>
          </w:p>
        </w:tc>
      </w:tr>
      <w:tr>
        <w:tblPrEx>
          <w:tblCellMar>
            <w:top w:w="0" w:type="dxa"/>
            <w:left w:w="108" w:type="dxa"/>
            <w:bottom w:w="0" w:type="dxa"/>
            <w:right w:w="108" w:type="dxa"/>
          </w:tblCellMar>
        </w:tblPrEx>
        <w:trPr>
          <w:trHeight w:val="840" w:hRule="atLeast"/>
          <w:jc w:val="center"/>
        </w:trPr>
        <w:tc>
          <w:tcPr>
            <w:tcW w:w="96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预算管理情况（20）</w:t>
            </w:r>
          </w:p>
        </w:tc>
        <w:tc>
          <w:tcPr>
            <w:tcW w:w="97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财务管理</w:t>
            </w:r>
            <w:r>
              <w:rPr>
                <w:rFonts w:hint="eastAsia" w:ascii="宋体" w:hAnsi="宋体" w:eastAsia="宋体"/>
                <w:color w:val="000000"/>
                <w:kern w:val="0"/>
                <w:sz w:val="18"/>
                <w:szCs w:val="18"/>
              </w:rPr>
              <w:br w:type="textWrapping"/>
            </w:r>
            <w:r>
              <w:rPr>
                <w:rFonts w:hint="eastAsia" w:ascii="宋体" w:hAnsi="宋体" w:eastAsia="宋体"/>
                <w:color w:val="000000"/>
                <w:kern w:val="0"/>
                <w:sz w:val="18"/>
                <w:szCs w:val="18"/>
              </w:rPr>
              <w:t>（4）</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财务管理制度健全性</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健全</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健全</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财务管理制度健全性:</w:t>
            </w:r>
            <w:r>
              <w:rPr>
                <w:rFonts w:hint="eastAsia" w:ascii="宋体" w:hAnsi="宋体" w:eastAsia="宋体"/>
                <w:color w:val="000000"/>
                <w:kern w:val="0"/>
                <w:sz w:val="18"/>
                <w:szCs w:val="18"/>
              </w:rPr>
              <w:t>部门（单位）为加强财务管理、规范财务行为而制定的管理制度。</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140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资金使用合规性和安全性</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合规、安全</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合规、安全</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资金使用合规性和安全性:</w:t>
            </w:r>
            <w:r>
              <w:rPr>
                <w:rFonts w:hint="eastAsia" w:ascii="宋体" w:hAnsi="宋体" w:eastAsia="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84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会计基础信息完善性</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完善</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完善</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1</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会计基础信息完善性:</w:t>
            </w:r>
            <w:r>
              <w:rPr>
                <w:rFonts w:hint="eastAsia" w:ascii="宋体" w:hAnsi="宋体" w:eastAsia="宋体"/>
                <w:color w:val="000000"/>
                <w:kern w:val="0"/>
                <w:sz w:val="18"/>
                <w:szCs w:val="18"/>
              </w:rPr>
              <w:t>部门（单位）会计基础信息情况。</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140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资产管理</w:t>
            </w:r>
            <w:r>
              <w:rPr>
                <w:rFonts w:hint="eastAsia" w:ascii="宋体" w:hAnsi="宋体" w:eastAsia="宋体"/>
                <w:color w:val="000000"/>
                <w:kern w:val="0"/>
                <w:sz w:val="18"/>
                <w:szCs w:val="18"/>
              </w:rPr>
              <w:br w:type="textWrapping"/>
            </w:r>
            <w:r>
              <w:rPr>
                <w:rFonts w:hint="eastAsia" w:ascii="宋体" w:hAnsi="宋体" w:eastAsia="宋体"/>
                <w:color w:val="000000"/>
                <w:kern w:val="0"/>
                <w:sz w:val="18"/>
                <w:szCs w:val="18"/>
              </w:rPr>
              <w:t>（4）</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资产管理规范性</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规范</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规范</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资产管理规范性:</w:t>
            </w:r>
            <w:r>
              <w:rPr>
                <w:rFonts w:hint="eastAsia" w:ascii="宋体" w:hAnsi="宋体" w:eastAsia="宋体"/>
                <w:color w:val="000000"/>
                <w:kern w:val="0"/>
                <w:sz w:val="18"/>
                <w:szCs w:val="18"/>
              </w:rPr>
              <w:t>部门（单位）的资产是否保持安全完整，资产配置是否合理，资产使用和资产处理是否规范，用以反映和考核部门（单位）资产管理的整体水平。</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68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绩效管理</w:t>
            </w:r>
            <w:r>
              <w:rPr>
                <w:rFonts w:hint="eastAsia" w:ascii="宋体" w:hAnsi="宋体" w:eastAsia="宋体"/>
                <w:color w:val="000000"/>
                <w:kern w:val="0"/>
                <w:sz w:val="18"/>
                <w:szCs w:val="18"/>
              </w:rPr>
              <w:br w:type="textWrapping"/>
            </w:r>
            <w:r>
              <w:rPr>
                <w:rFonts w:hint="eastAsia" w:ascii="宋体" w:hAnsi="宋体" w:eastAsia="宋体"/>
                <w:color w:val="000000"/>
                <w:kern w:val="0"/>
                <w:sz w:val="18"/>
                <w:szCs w:val="18"/>
              </w:rPr>
              <w:t>（4）</w:t>
            </w:r>
          </w:p>
        </w:tc>
        <w:tc>
          <w:tcPr>
            <w:tcW w:w="139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绩效管理情况</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有效</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有效</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b/>
                <w:bCs/>
                <w:color w:val="000000"/>
                <w:kern w:val="0"/>
                <w:sz w:val="18"/>
                <w:szCs w:val="18"/>
              </w:rPr>
            </w:pPr>
            <w:r>
              <w:rPr>
                <w:rFonts w:hint="eastAsia" w:ascii="宋体" w:hAnsi="宋体" w:eastAsia="宋体"/>
                <w:b/>
                <w:bCs/>
                <w:color w:val="000000"/>
                <w:kern w:val="0"/>
                <w:sz w:val="18"/>
                <w:szCs w:val="18"/>
              </w:rPr>
              <w:t>绩效管理情况:</w:t>
            </w:r>
            <w:r>
              <w:rPr>
                <w:rFonts w:hint="eastAsia" w:ascii="宋体" w:hAnsi="宋体" w:eastAsia="宋体"/>
                <w:color w:val="000000"/>
                <w:kern w:val="0"/>
                <w:sz w:val="18"/>
                <w:szCs w:val="18"/>
              </w:rPr>
              <w:t>考核部门（单位）在绩效管理信息的汇总和应用情况。</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42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　</w:t>
            </w:r>
          </w:p>
        </w:tc>
        <w:tc>
          <w:tcPr>
            <w:tcW w:w="255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2021年</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2022年</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分值</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得分</w:t>
            </w:r>
          </w:p>
        </w:tc>
        <w:tc>
          <w:tcPr>
            <w:tcW w:w="268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指标解释</w:t>
            </w:r>
          </w:p>
        </w:tc>
        <w:tc>
          <w:tcPr>
            <w:tcW w:w="48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评分标准</w:t>
            </w:r>
          </w:p>
        </w:tc>
      </w:tr>
      <w:tr>
        <w:tblPrEx>
          <w:tblCellMar>
            <w:top w:w="0" w:type="dxa"/>
            <w:left w:w="108" w:type="dxa"/>
            <w:bottom w:w="0" w:type="dxa"/>
            <w:right w:w="108" w:type="dxa"/>
          </w:tblCellMar>
        </w:tblPrEx>
        <w:trPr>
          <w:trHeight w:val="6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结转结余率</w:t>
            </w:r>
            <w:r>
              <w:rPr>
                <w:rFonts w:hint="eastAsia" w:ascii="宋体" w:hAnsi="宋体" w:eastAsia="宋体"/>
                <w:color w:val="000000"/>
                <w:kern w:val="0"/>
                <w:sz w:val="18"/>
                <w:szCs w:val="18"/>
              </w:rPr>
              <w:br w:type="textWrapping"/>
            </w:r>
            <w:r>
              <w:rPr>
                <w:rFonts w:hint="eastAsia" w:ascii="宋体" w:hAnsi="宋体" w:eastAsia="宋体"/>
                <w:color w:val="000000"/>
                <w:kern w:val="0"/>
                <w:sz w:val="18"/>
                <w:szCs w:val="18"/>
              </w:rPr>
              <w:t>（4）</w:t>
            </w:r>
          </w:p>
        </w:tc>
        <w:tc>
          <w:tcPr>
            <w:tcW w:w="25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2.75%</w:t>
            </w:r>
          </w:p>
        </w:tc>
        <w:tc>
          <w:tcPr>
            <w:tcW w:w="10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3.84%</w:t>
            </w:r>
          </w:p>
        </w:tc>
        <w:tc>
          <w:tcPr>
            <w:tcW w:w="7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 xml:space="preserve">4.00 </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结转结余率=结转结余总额/支出预算数×100%。</w:t>
            </w:r>
          </w:p>
        </w:tc>
        <w:tc>
          <w:tcPr>
            <w:tcW w:w="484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kern w:val="0"/>
                <w:sz w:val="18"/>
                <w:szCs w:val="18"/>
              </w:rPr>
            </w:pPr>
            <w:r>
              <w:rPr>
                <w:rFonts w:hint="eastAsia" w:ascii="宋体" w:hAnsi="宋体" w:eastAsia="宋体"/>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66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2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10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结转结余总额：部门（单位）本年度的结转资金与结余资金之和。</w:t>
            </w:r>
          </w:p>
        </w:tc>
        <w:tc>
          <w:tcPr>
            <w:tcW w:w="4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kern w:val="0"/>
                <w:sz w:val="18"/>
                <w:szCs w:val="18"/>
              </w:rPr>
            </w:pPr>
          </w:p>
        </w:tc>
      </w:tr>
      <w:tr>
        <w:tblPrEx>
          <w:tblCellMar>
            <w:top w:w="0" w:type="dxa"/>
            <w:left w:w="108" w:type="dxa"/>
            <w:bottom w:w="0" w:type="dxa"/>
            <w:right w:w="108" w:type="dxa"/>
          </w:tblCellMar>
        </w:tblPrEx>
        <w:trPr>
          <w:trHeight w:val="780" w:hRule="atLeast"/>
          <w:jc w:val="center"/>
        </w:trPr>
        <w:tc>
          <w:tcPr>
            <w:tcW w:w="9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olor w:val="000000"/>
                <w:kern w:val="0"/>
                <w:sz w:val="18"/>
                <w:szCs w:val="18"/>
              </w:rPr>
            </w:pPr>
          </w:p>
        </w:tc>
        <w:tc>
          <w:tcPr>
            <w:tcW w:w="97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部门预决算差异率（4）</w:t>
            </w:r>
          </w:p>
        </w:tc>
        <w:tc>
          <w:tcPr>
            <w:tcW w:w="255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0.76%</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4</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olor w:val="000000"/>
                <w:kern w:val="0"/>
                <w:sz w:val="18"/>
                <w:szCs w:val="18"/>
              </w:rPr>
            </w:pPr>
            <w:r>
              <w:rPr>
                <w:rFonts w:hint="eastAsia" w:ascii="宋体" w:hAnsi="宋体" w:eastAsia="宋体"/>
                <w:color w:val="000000"/>
                <w:kern w:val="0"/>
                <w:sz w:val="18"/>
                <w:szCs w:val="18"/>
              </w:rPr>
              <w:t xml:space="preserve">4.00 </w:t>
            </w:r>
          </w:p>
        </w:tc>
        <w:tc>
          <w:tcPr>
            <w:tcW w:w="268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通过年度部门决算与年初部门预算对比，对部门的年度支出情况进行考核，衡量部门预算的约束力。</w:t>
            </w:r>
          </w:p>
        </w:tc>
        <w:tc>
          <w:tcPr>
            <w:tcW w:w="4840"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olor w:val="000000"/>
                <w:kern w:val="0"/>
                <w:sz w:val="18"/>
                <w:szCs w:val="18"/>
              </w:rPr>
            </w:pPr>
            <w:r>
              <w:rPr>
                <w:rFonts w:hint="eastAsia" w:ascii="宋体" w:hAnsi="宋体" w:eastAsia="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320" w:hRule="atLeast"/>
          <w:jc w:val="center"/>
        </w:trPr>
        <w:tc>
          <w:tcPr>
            <w:tcW w:w="550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合计</w:t>
            </w:r>
          </w:p>
        </w:tc>
        <w:tc>
          <w:tcPr>
            <w:tcW w:w="761"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 xml:space="preserve">100.00 </w:t>
            </w:r>
          </w:p>
        </w:tc>
        <w:tc>
          <w:tcPr>
            <w:tcW w:w="67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 xml:space="preserve">96.78 </w:t>
            </w:r>
          </w:p>
        </w:tc>
        <w:tc>
          <w:tcPr>
            <w:tcW w:w="75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b/>
                <w:bCs/>
                <w:color w:val="000000"/>
                <w:kern w:val="0"/>
                <w:sz w:val="18"/>
                <w:szCs w:val="18"/>
              </w:rPr>
            </w:pPr>
            <w:r>
              <w:rPr>
                <w:rFonts w:hint="eastAsia" w:ascii="宋体" w:hAnsi="宋体" w:eastAsia="宋体"/>
                <w:b/>
                <w:bCs/>
                <w:color w:val="000000"/>
                <w:kern w:val="0"/>
                <w:sz w:val="18"/>
                <w:szCs w:val="18"/>
              </w:rPr>
              <w:t>——</w:t>
            </w:r>
          </w:p>
        </w:tc>
      </w:tr>
    </w:tbl>
    <w:p>
      <w:pPr>
        <w:spacing w:line="560" w:lineRule="exact"/>
      </w:pPr>
    </w:p>
    <w:sectPr>
      <w:pgSz w:w="16838" w:h="11906" w:orient="landscape"/>
      <w:pgMar w:top="1474" w:right="1984" w:bottom="1587" w:left="2098" w:header="851" w:footer="992" w:gutter="0"/>
      <w:cols w:space="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imes New Roman (标题 CS)">
    <w:altName w:val="DejaVu Sans"/>
    <w:panose1 w:val="020B0604020202020204"/>
    <w:charset w:val="86"/>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8"/>
      </w:pPr>
      <w:r>
        <w:rPr>
          <w:rStyle w:val="15"/>
        </w:rPr>
        <w:footnoteRef/>
      </w:r>
      <w:r>
        <w:t xml:space="preserve"> </w:t>
      </w:r>
      <w:r>
        <w:rPr>
          <w:rFonts w:hint="eastAsia"/>
          <w:color w:val="000000"/>
        </w:rPr>
        <w:t>按照四舍五入原则保留两位小数，导致表内数据的和与合计数存在</w:t>
      </w:r>
      <w:r>
        <w:rPr>
          <w:color w:val="000000"/>
        </w:rPr>
        <w:t>0</w:t>
      </w:r>
      <w:r>
        <w:rPr>
          <w:rFonts w:hint="eastAsia"/>
          <w:color w:val="000000"/>
        </w:rPr>
        <w:t>.</w:t>
      </w:r>
      <w:r>
        <w:rPr>
          <w:color w:val="000000"/>
        </w:rPr>
        <w:t>01</w:t>
      </w:r>
      <w:r>
        <w:rPr>
          <w:rFonts w:hint="eastAsia"/>
          <w:color w:val="000000"/>
        </w:rPr>
        <w:t>的差值。</w:t>
      </w:r>
    </w:p>
  </w:footnote>
  <w:footnote w:id="1">
    <w:p>
      <w:pPr>
        <w:pStyle w:val="8"/>
      </w:pPr>
      <w:r>
        <w:rPr>
          <w:rStyle w:val="15"/>
        </w:rPr>
        <w:footnoteRef/>
      </w:r>
      <w:r>
        <w:t xml:space="preserve"> </w:t>
      </w:r>
      <w:r>
        <w:rPr>
          <w:rFonts w:hint="eastAsia"/>
          <w:color w:val="000000"/>
        </w:rPr>
        <w:t>同上。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5E8CB4"/>
    <w:multiLevelType w:val="singleLevel"/>
    <w:tmpl w:val="3D5E8CB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revisionView w:markup="0"/>
  <w:documentProtection w:enforcement="0"/>
  <w:defaultTabStop w:val="420"/>
  <w:drawingGridHorizontalSpacing w:val="160"/>
  <w:drawingGridVerticalSpacing w:val="439"/>
  <w:displayHorizontalDrawingGridEvery w:val="2"/>
  <w:noPunctuationKerning w:val="true"/>
  <w:characterSpacingControl w:val="compressPunctuation"/>
  <w:footnotePr>
    <w:footnote w:id="4"/>
    <w:footnote w:id="5"/>
  </w:foot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31B"/>
    <w:rsid w:val="00001A93"/>
    <w:rsid w:val="00001AA1"/>
    <w:rsid w:val="00005530"/>
    <w:rsid w:val="000061AB"/>
    <w:rsid w:val="0000629C"/>
    <w:rsid w:val="00006416"/>
    <w:rsid w:val="00006431"/>
    <w:rsid w:val="00007EC2"/>
    <w:rsid w:val="00011703"/>
    <w:rsid w:val="00013B23"/>
    <w:rsid w:val="00013EA1"/>
    <w:rsid w:val="0001602E"/>
    <w:rsid w:val="00017BFB"/>
    <w:rsid w:val="00024686"/>
    <w:rsid w:val="00024809"/>
    <w:rsid w:val="00025B8E"/>
    <w:rsid w:val="00025ED9"/>
    <w:rsid w:val="00031369"/>
    <w:rsid w:val="00032E9E"/>
    <w:rsid w:val="000361B4"/>
    <w:rsid w:val="000400E7"/>
    <w:rsid w:val="00041D23"/>
    <w:rsid w:val="00042CB4"/>
    <w:rsid w:val="00044AAB"/>
    <w:rsid w:val="000468AC"/>
    <w:rsid w:val="00050C6A"/>
    <w:rsid w:val="00051B00"/>
    <w:rsid w:val="00052356"/>
    <w:rsid w:val="00053184"/>
    <w:rsid w:val="000533D3"/>
    <w:rsid w:val="00055733"/>
    <w:rsid w:val="00056F4D"/>
    <w:rsid w:val="00061C23"/>
    <w:rsid w:val="000646D1"/>
    <w:rsid w:val="000646F4"/>
    <w:rsid w:val="00065957"/>
    <w:rsid w:val="00065C6D"/>
    <w:rsid w:val="00065E02"/>
    <w:rsid w:val="0006607C"/>
    <w:rsid w:val="00066685"/>
    <w:rsid w:val="00070D5D"/>
    <w:rsid w:val="00071275"/>
    <w:rsid w:val="00071F3A"/>
    <w:rsid w:val="00072553"/>
    <w:rsid w:val="0008061F"/>
    <w:rsid w:val="00081008"/>
    <w:rsid w:val="000811B6"/>
    <w:rsid w:val="0008125B"/>
    <w:rsid w:val="000815D8"/>
    <w:rsid w:val="0008421C"/>
    <w:rsid w:val="0008425E"/>
    <w:rsid w:val="00084B6E"/>
    <w:rsid w:val="00084B95"/>
    <w:rsid w:val="00084C4A"/>
    <w:rsid w:val="00084CCC"/>
    <w:rsid w:val="00085DF4"/>
    <w:rsid w:val="00091A75"/>
    <w:rsid w:val="000927DE"/>
    <w:rsid w:val="000932A0"/>
    <w:rsid w:val="0009595A"/>
    <w:rsid w:val="000A0794"/>
    <w:rsid w:val="000A15CB"/>
    <w:rsid w:val="000A3637"/>
    <w:rsid w:val="000A3A29"/>
    <w:rsid w:val="000A4DBA"/>
    <w:rsid w:val="000A505C"/>
    <w:rsid w:val="000A5E4D"/>
    <w:rsid w:val="000A62FD"/>
    <w:rsid w:val="000B00F6"/>
    <w:rsid w:val="000B2AD2"/>
    <w:rsid w:val="000B6A09"/>
    <w:rsid w:val="000B76B9"/>
    <w:rsid w:val="000C06FF"/>
    <w:rsid w:val="000C19C8"/>
    <w:rsid w:val="000C1EC7"/>
    <w:rsid w:val="000C3048"/>
    <w:rsid w:val="000C3868"/>
    <w:rsid w:val="000C4E35"/>
    <w:rsid w:val="000D123A"/>
    <w:rsid w:val="000D3D30"/>
    <w:rsid w:val="000E2ADE"/>
    <w:rsid w:val="000E4EE5"/>
    <w:rsid w:val="000E5762"/>
    <w:rsid w:val="000E6142"/>
    <w:rsid w:val="000E7BFD"/>
    <w:rsid w:val="000F13C1"/>
    <w:rsid w:val="000F1ABF"/>
    <w:rsid w:val="000F3CC4"/>
    <w:rsid w:val="000F4E68"/>
    <w:rsid w:val="000F6477"/>
    <w:rsid w:val="000F79ED"/>
    <w:rsid w:val="00100380"/>
    <w:rsid w:val="00101732"/>
    <w:rsid w:val="0010665A"/>
    <w:rsid w:val="001129C5"/>
    <w:rsid w:val="00112BF5"/>
    <w:rsid w:val="0011417F"/>
    <w:rsid w:val="00114EDB"/>
    <w:rsid w:val="00117B8C"/>
    <w:rsid w:val="0012361E"/>
    <w:rsid w:val="00125B2C"/>
    <w:rsid w:val="00127D5E"/>
    <w:rsid w:val="00132053"/>
    <w:rsid w:val="0013429F"/>
    <w:rsid w:val="00134776"/>
    <w:rsid w:val="00135146"/>
    <w:rsid w:val="001358CB"/>
    <w:rsid w:val="00142CCE"/>
    <w:rsid w:val="0014534D"/>
    <w:rsid w:val="00145F22"/>
    <w:rsid w:val="00145FCA"/>
    <w:rsid w:val="00146084"/>
    <w:rsid w:val="001460E2"/>
    <w:rsid w:val="0014738E"/>
    <w:rsid w:val="0015126F"/>
    <w:rsid w:val="00151679"/>
    <w:rsid w:val="0015275A"/>
    <w:rsid w:val="001529D0"/>
    <w:rsid w:val="0015597A"/>
    <w:rsid w:val="00156425"/>
    <w:rsid w:val="00160C63"/>
    <w:rsid w:val="00161E2F"/>
    <w:rsid w:val="00162C97"/>
    <w:rsid w:val="001634A2"/>
    <w:rsid w:val="00163B5C"/>
    <w:rsid w:val="00165502"/>
    <w:rsid w:val="00165D07"/>
    <w:rsid w:val="001664E4"/>
    <w:rsid w:val="00167831"/>
    <w:rsid w:val="00172838"/>
    <w:rsid w:val="00172E17"/>
    <w:rsid w:val="00174054"/>
    <w:rsid w:val="001746F6"/>
    <w:rsid w:val="001761F3"/>
    <w:rsid w:val="001762D1"/>
    <w:rsid w:val="00180950"/>
    <w:rsid w:val="001814EA"/>
    <w:rsid w:val="00181A0B"/>
    <w:rsid w:val="00183582"/>
    <w:rsid w:val="0019331B"/>
    <w:rsid w:val="00194179"/>
    <w:rsid w:val="0019666D"/>
    <w:rsid w:val="001A1857"/>
    <w:rsid w:val="001A2BA6"/>
    <w:rsid w:val="001A4F99"/>
    <w:rsid w:val="001A7AF0"/>
    <w:rsid w:val="001B2B7B"/>
    <w:rsid w:val="001B2C59"/>
    <w:rsid w:val="001B7237"/>
    <w:rsid w:val="001C0F41"/>
    <w:rsid w:val="001C182D"/>
    <w:rsid w:val="001C1F49"/>
    <w:rsid w:val="001C3F5F"/>
    <w:rsid w:val="001C55AC"/>
    <w:rsid w:val="001C630C"/>
    <w:rsid w:val="001C6E55"/>
    <w:rsid w:val="001D0EA0"/>
    <w:rsid w:val="001D1A38"/>
    <w:rsid w:val="001D282C"/>
    <w:rsid w:val="001D2B96"/>
    <w:rsid w:val="001D2D96"/>
    <w:rsid w:val="001D57B7"/>
    <w:rsid w:val="001D5C7E"/>
    <w:rsid w:val="001E1CBA"/>
    <w:rsid w:val="001E2113"/>
    <w:rsid w:val="001E35BE"/>
    <w:rsid w:val="001E4935"/>
    <w:rsid w:val="001E5FF2"/>
    <w:rsid w:val="001E705A"/>
    <w:rsid w:val="001F0C72"/>
    <w:rsid w:val="001F0CD5"/>
    <w:rsid w:val="001F115B"/>
    <w:rsid w:val="001F2A4A"/>
    <w:rsid w:val="001F3185"/>
    <w:rsid w:val="001F6C25"/>
    <w:rsid w:val="001F70B0"/>
    <w:rsid w:val="00201B36"/>
    <w:rsid w:val="00202863"/>
    <w:rsid w:val="00204855"/>
    <w:rsid w:val="00205E1B"/>
    <w:rsid w:val="00206389"/>
    <w:rsid w:val="00212553"/>
    <w:rsid w:val="002144B2"/>
    <w:rsid w:val="002148B5"/>
    <w:rsid w:val="00214BF9"/>
    <w:rsid w:val="0021685F"/>
    <w:rsid w:val="00217AEC"/>
    <w:rsid w:val="0022033C"/>
    <w:rsid w:val="002213F3"/>
    <w:rsid w:val="002234A4"/>
    <w:rsid w:val="00223A0B"/>
    <w:rsid w:val="002302FE"/>
    <w:rsid w:val="00230F1B"/>
    <w:rsid w:val="00232488"/>
    <w:rsid w:val="00232FA6"/>
    <w:rsid w:val="00236EBF"/>
    <w:rsid w:val="00240FBA"/>
    <w:rsid w:val="0024103E"/>
    <w:rsid w:val="0024197C"/>
    <w:rsid w:val="002426C6"/>
    <w:rsid w:val="00247642"/>
    <w:rsid w:val="00250141"/>
    <w:rsid w:val="0025186A"/>
    <w:rsid w:val="00255093"/>
    <w:rsid w:val="002563A9"/>
    <w:rsid w:val="00261197"/>
    <w:rsid w:val="002631D9"/>
    <w:rsid w:val="002654FE"/>
    <w:rsid w:val="00265CEA"/>
    <w:rsid w:val="00266FA4"/>
    <w:rsid w:val="00267377"/>
    <w:rsid w:val="002676D4"/>
    <w:rsid w:val="002706D7"/>
    <w:rsid w:val="00270E63"/>
    <w:rsid w:val="00270EBE"/>
    <w:rsid w:val="00273299"/>
    <w:rsid w:val="00273F08"/>
    <w:rsid w:val="002743AA"/>
    <w:rsid w:val="002745BC"/>
    <w:rsid w:val="002755E5"/>
    <w:rsid w:val="0027662A"/>
    <w:rsid w:val="00276E14"/>
    <w:rsid w:val="00276E45"/>
    <w:rsid w:val="00277A3E"/>
    <w:rsid w:val="002803BA"/>
    <w:rsid w:val="00281077"/>
    <w:rsid w:val="0028192F"/>
    <w:rsid w:val="00281EE3"/>
    <w:rsid w:val="002855A7"/>
    <w:rsid w:val="00285822"/>
    <w:rsid w:val="0028598D"/>
    <w:rsid w:val="002864F5"/>
    <w:rsid w:val="00291064"/>
    <w:rsid w:val="00291DBF"/>
    <w:rsid w:val="00295492"/>
    <w:rsid w:val="002972C6"/>
    <w:rsid w:val="002A380E"/>
    <w:rsid w:val="002A4EA5"/>
    <w:rsid w:val="002A575C"/>
    <w:rsid w:val="002A7B4E"/>
    <w:rsid w:val="002A7DBA"/>
    <w:rsid w:val="002B0D2A"/>
    <w:rsid w:val="002B0DEA"/>
    <w:rsid w:val="002B2064"/>
    <w:rsid w:val="002B2D0C"/>
    <w:rsid w:val="002B3074"/>
    <w:rsid w:val="002B5328"/>
    <w:rsid w:val="002C12AC"/>
    <w:rsid w:val="002C2C4C"/>
    <w:rsid w:val="002C3D2B"/>
    <w:rsid w:val="002C4BC7"/>
    <w:rsid w:val="002C4EB9"/>
    <w:rsid w:val="002C7B64"/>
    <w:rsid w:val="002D2491"/>
    <w:rsid w:val="002D49B4"/>
    <w:rsid w:val="002D4F2D"/>
    <w:rsid w:val="002D7DA4"/>
    <w:rsid w:val="002E1F9E"/>
    <w:rsid w:val="002E61B7"/>
    <w:rsid w:val="002E656B"/>
    <w:rsid w:val="002E6DAA"/>
    <w:rsid w:val="002F0C57"/>
    <w:rsid w:val="002F11B3"/>
    <w:rsid w:val="002F3054"/>
    <w:rsid w:val="002F3E69"/>
    <w:rsid w:val="002F4515"/>
    <w:rsid w:val="002F47F4"/>
    <w:rsid w:val="002F56DB"/>
    <w:rsid w:val="002F5F07"/>
    <w:rsid w:val="002F5F10"/>
    <w:rsid w:val="002F7776"/>
    <w:rsid w:val="0030079C"/>
    <w:rsid w:val="00300D61"/>
    <w:rsid w:val="003048B8"/>
    <w:rsid w:val="003052EC"/>
    <w:rsid w:val="003066EE"/>
    <w:rsid w:val="00307AD9"/>
    <w:rsid w:val="0031160A"/>
    <w:rsid w:val="00311B3E"/>
    <w:rsid w:val="00313210"/>
    <w:rsid w:val="00313A58"/>
    <w:rsid w:val="00313E2D"/>
    <w:rsid w:val="00314605"/>
    <w:rsid w:val="00315827"/>
    <w:rsid w:val="003159F8"/>
    <w:rsid w:val="003211AD"/>
    <w:rsid w:val="003218E9"/>
    <w:rsid w:val="0032463B"/>
    <w:rsid w:val="0032561D"/>
    <w:rsid w:val="00325F2C"/>
    <w:rsid w:val="0032794F"/>
    <w:rsid w:val="00332549"/>
    <w:rsid w:val="003329EF"/>
    <w:rsid w:val="0033399D"/>
    <w:rsid w:val="00335652"/>
    <w:rsid w:val="00335963"/>
    <w:rsid w:val="00335D4C"/>
    <w:rsid w:val="00337B14"/>
    <w:rsid w:val="00337D51"/>
    <w:rsid w:val="003400CB"/>
    <w:rsid w:val="00341606"/>
    <w:rsid w:val="0034185D"/>
    <w:rsid w:val="0034313D"/>
    <w:rsid w:val="00346224"/>
    <w:rsid w:val="00346D89"/>
    <w:rsid w:val="00347ADE"/>
    <w:rsid w:val="00354A43"/>
    <w:rsid w:val="00354D56"/>
    <w:rsid w:val="00361AC0"/>
    <w:rsid w:val="00362039"/>
    <w:rsid w:val="003644A9"/>
    <w:rsid w:val="00364EDE"/>
    <w:rsid w:val="00365AF8"/>
    <w:rsid w:val="00365C0E"/>
    <w:rsid w:val="00366F5E"/>
    <w:rsid w:val="00371034"/>
    <w:rsid w:val="00371543"/>
    <w:rsid w:val="00371C66"/>
    <w:rsid w:val="00373EFE"/>
    <w:rsid w:val="003751DA"/>
    <w:rsid w:val="00375E8C"/>
    <w:rsid w:val="0037671E"/>
    <w:rsid w:val="00380233"/>
    <w:rsid w:val="0038137A"/>
    <w:rsid w:val="00382B09"/>
    <w:rsid w:val="00383281"/>
    <w:rsid w:val="00383EE9"/>
    <w:rsid w:val="00384443"/>
    <w:rsid w:val="00384DFF"/>
    <w:rsid w:val="00385343"/>
    <w:rsid w:val="00385CC4"/>
    <w:rsid w:val="00390FF3"/>
    <w:rsid w:val="00391D38"/>
    <w:rsid w:val="00393990"/>
    <w:rsid w:val="00395255"/>
    <w:rsid w:val="00397DD4"/>
    <w:rsid w:val="003A094B"/>
    <w:rsid w:val="003A12B7"/>
    <w:rsid w:val="003A3B86"/>
    <w:rsid w:val="003A3E53"/>
    <w:rsid w:val="003A6E16"/>
    <w:rsid w:val="003B0303"/>
    <w:rsid w:val="003B1459"/>
    <w:rsid w:val="003B2CE8"/>
    <w:rsid w:val="003B41AD"/>
    <w:rsid w:val="003B472C"/>
    <w:rsid w:val="003B59DD"/>
    <w:rsid w:val="003B6AE7"/>
    <w:rsid w:val="003B6C6D"/>
    <w:rsid w:val="003C2669"/>
    <w:rsid w:val="003C2F3B"/>
    <w:rsid w:val="003C3935"/>
    <w:rsid w:val="003C4A91"/>
    <w:rsid w:val="003C4EBB"/>
    <w:rsid w:val="003C676D"/>
    <w:rsid w:val="003C7156"/>
    <w:rsid w:val="003D12FD"/>
    <w:rsid w:val="003D2AE3"/>
    <w:rsid w:val="003D3420"/>
    <w:rsid w:val="003D57AE"/>
    <w:rsid w:val="003E104E"/>
    <w:rsid w:val="003E258B"/>
    <w:rsid w:val="003E2FC1"/>
    <w:rsid w:val="003E51A6"/>
    <w:rsid w:val="003E5B87"/>
    <w:rsid w:val="003E6770"/>
    <w:rsid w:val="003E72C5"/>
    <w:rsid w:val="003F07E4"/>
    <w:rsid w:val="003F1E3F"/>
    <w:rsid w:val="003F4AAB"/>
    <w:rsid w:val="003F66E2"/>
    <w:rsid w:val="003F7879"/>
    <w:rsid w:val="004002A8"/>
    <w:rsid w:val="0040071C"/>
    <w:rsid w:val="00405B2C"/>
    <w:rsid w:val="00405B42"/>
    <w:rsid w:val="004061AC"/>
    <w:rsid w:val="004069FB"/>
    <w:rsid w:val="00407013"/>
    <w:rsid w:val="0040775E"/>
    <w:rsid w:val="004102CA"/>
    <w:rsid w:val="0041786E"/>
    <w:rsid w:val="004232D2"/>
    <w:rsid w:val="00423417"/>
    <w:rsid w:val="00423C7C"/>
    <w:rsid w:val="0042561A"/>
    <w:rsid w:val="00426A18"/>
    <w:rsid w:val="0042701B"/>
    <w:rsid w:val="004275EE"/>
    <w:rsid w:val="004279BF"/>
    <w:rsid w:val="00427E15"/>
    <w:rsid w:val="00431258"/>
    <w:rsid w:val="00433AAF"/>
    <w:rsid w:val="00435232"/>
    <w:rsid w:val="0043580E"/>
    <w:rsid w:val="00436A9E"/>
    <w:rsid w:val="004375F5"/>
    <w:rsid w:val="00441045"/>
    <w:rsid w:val="004424F4"/>
    <w:rsid w:val="00443D11"/>
    <w:rsid w:val="004445DD"/>
    <w:rsid w:val="004450FE"/>
    <w:rsid w:val="00447307"/>
    <w:rsid w:val="004502B8"/>
    <w:rsid w:val="004504BC"/>
    <w:rsid w:val="00452D60"/>
    <w:rsid w:val="004535A7"/>
    <w:rsid w:val="0045374D"/>
    <w:rsid w:val="00453A47"/>
    <w:rsid w:val="00460ADF"/>
    <w:rsid w:val="00465124"/>
    <w:rsid w:val="00466BF6"/>
    <w:rsid w:val="00467D72"/>
    <w:rsid w:val="00471406"/>
    <w:rsid w:val="004732F5"/>
    <w:rsid w:val="00473A92"/>
    <w:rsid w:val="00474765"/>
    <w:rsid w:val="0047566C"/>
    <w:rsid w:val="00475BAD"/>
    <w:rsid w:val="00476245"/>
    <w:rsid w:val="004765BD"/>
    <w:rsid w:val="004773BE"/>
    <w:rsid w:val="00477423"/>
    <w:rsid w:val="00480E40"/>
    <w:rsid w:val="004811E1"/>
    <w:rsid w:val="00481232"/>
    <w:rsid w:val="00485C34"/>
    <w:rsid w:val="00486D33"/>
    <w:rsid w:val="00487027"/>
    <w:rsid w:val="004916DF"/>
    <w:rsid w:val="00492EBB"/>
    <w:rsid w:val="00495A2A"/>
    <w:rsid w:val="004A1396"/>
    <w:rsid w:val="004A4072"/>
    <w:rsid w:val="004A6487"/>
    <w:rsid w:val="004A75BA"/>
    <w:rsid w:val="004B07DA"/>
    <w:rsid w:val="004B1235"/>
    <w:rsid w:val="004B13CE"/>
    <w:rsid w:val="004B4C4F"/>
    <w:rsid w:val="004B59FB"/>
    <w:rsid w:val="004B6756"/>
    <w:rsid w:val="004B6AEE"/>
    <w:rsid w:val="004C0DD1"/>
    <w:rsid w:val="004C3EBD"/>
    <w:rsid w:val="004C4922"/>
    <w:rsid w:val="004C5490"/>
    <w:rsid w:val="004D0265"/>
    <w:rsid w:val="004D1227"/>
    <w:rsid w:val="004D3937"/>
    <w:rsid w:val="004D3A52"/>
    <w:rsid w:val="004E02BF"/>
    <w:rsid w:val="004E0B96"/>
    <w:rsid w:val="004E0CD8"/>
    <w:rsid w:val="004E0FBC"/>
    <w:rsid w:val="004E2FA1"/>
    <w:rsid w:val="004E3A9F"/>
    <w:rsid w:val="004E552F"/>
    <w:rsid w:val="004E73F7"/>
    <w:rsid w:val="004E7F03"/>
    <w:rsid w:val="004F0B71"/>
    <w:rsid w:val="004F12A3"/>
    <w:rsid w:val="004F332A"/>
    <w:rsid w:val="004F5A2D"/>
    <w:rsid w:val="004F5D12"/>
    <w:rsid w:val="004F7A9C"/>
    <w:rsid w:val="005008D1"/>
    <w:rsid w:val="00501624"/>
    <w:rsid w:val="00501B6A"/>
    <w:rsid w:val="0050225A"/>
    <w:rsid w:val="005124BB"/>
    <w:rsid w:val="00512893"/>
    <w:rsid w:val="00513937"/>
    <w:rsid w:val="00513D1B"/>
    <w:rsid w:val="00517E83"/>
    <w:rsid w:val="00520397"/>
    <w:rsid w:val="00522B88"/>
    <w:rsid w:val="00523D37"/>
    <w:rsid w:val="00525B09"/>
    <w:rsid w:val="00533882"/>
    <w:rsid w:val="0053636F"/>
    <w:rsid w:val="00537353"/>
    <w:rsid w:val="005411DB"/>
    <w:rsid w:val="00543391"/>
    <w:rsid w:val="00543E88"/>
    <w:rsid w:val="00543EDE"/>
    <w:rsid w:val="005458BD"/>
    <w:rsid w:val="00546E7F"/>
    <w:rsid w:val="00551C6B"/>
    <w:rsid w:val="0055322E"/>
    <w:rsid w:val="00554B36"/>
    <w:rsid w:val="0056062F"/>
    <w:rsid w:val="00560925"/>
    <w:rsid w:val="00564EA1"/>
    <w:rsid w:val="00570FE0"/>
    <w:rsid w:val="0057185C"/>
    <w:rsid w:val="00572925"/>
    <w:rsid w:val="005735D7"/>
    <w:rsid w:val="00573679"/>
    <w:rsid w:val="00577B97"/>
    <w:rsid w:val="0058012B"/>
    <w:rsid w:val="00580A63"/>
    <w:rsid w:val="005813C0"/>
    <w:rsid w:val="00581683"/>
    <w:rsid w:val="005832DA"/>
    <w:rsid w:val="00587B01"/>
    <w:rsid w:val="00590285"/>
    <w:rsid w:val="005934DF"/>
    <w:rsid w:val="00594767"/>
    <w:rsid w:val="0059502C"/>
    <w:rsid w:val="00595BF4"/>
    <w:rsid w:val="00596083"/>
    <w:rsid w:val="00596DD2"/>
    <w:rsid w:val="005A0241"/>
    <w:rsid w:val="005A13B7"/>
    <w:rsid w:val="005A1478"/>
    <w:rsid w:val="005A43C2"/>
    <w:rsid w:val="005A4CEC"/>
    <w:rsid w:val="005A6A49"/>
    <w:rsid w:val="005B1DB9"/>
    <w:rsid w:val="005C4726"/>
    <w:rsid w:val="005C5801"/>
    <w:rsid w:val="005C6303"/>
    <w:rsid w:val="005C6696"/>
    <w:rsid w:val="005C6B00"/>
    <w:rsid w:val="005D013A"/>
    <w:rsid w:val="005D04BA"/>
    <w:rsid w:val="005D1C0D"/>
    <w:rsid w:val="005D2228"/>
    <w:rsid w:val="005D2312"/>
    <w:rsid w:val="005D2730"/>
    <w:rsid w:val="005D3DDB"/>
    <w:rsid w:val="005D583B"/>
    <w:rsid w:val="005E000D"/>
    <w:rsid w:val="005E0813"/>
    <w:rsid w:val="005E198B"/>
    <w:rsid w:val="005E4103"/>
    <w:rsid w:val="005E4C47"/>
    <w:rsid w:val="005E694C"/>
    <w:rsid w:val="005E6EE6"/>
    <w:rsid w:val="005E7738"/>
    <w:rsid w:val="005F042B"/>
    <w:rsid w:val="005F0645"/>
    <w:rsid w:val="005F2F5B"/>
    <w:rsid w:val="005F4134"/>
    <w:rsid w:val="005F4492"/>
    <w:rsid w:val="005F6951"/>
    <w:rsid w:val="005F6995"/>
    <w:rsid w:val="005F6B6D"/>
    <w:rsid w:val="005F7194"/>
    <w:rsid w:val="006015AB"/>
    <w:rsid w:val="00602A05"/>
    <w:rsid w:val="00602FC2"/>
    <w:rsid w:val="0060376F"/>
    <w:rsid w:val="00610037"/>
    <w:rsid w:val="00611539"/>
    <w:rsid w:val="00612C85"/>
    <w:rsid w:val="00616481"/>
    <w:rsid w:val="006224B6"/>
    <w:rsid w:val="00623C2B"/>
    <w:rsid w:val="00624B73"/>
    <w:rsid w:val="00624CBE"/>
    <w:rsid w:val="00624F2B"/>
    <w:rsid w:val="00625B1C"/>
    <w:rsid w:val="0062728D"/>
    <w:rsid w:val="00627FEC"/>
    <w:rsid w:val="006313C4"/>
    <w:rsid w:val="00632EE3"/>
    <w:rsid w:val="00633F8A"/>
    <w:rsid w:val="006343A8"/>
    <w:rsid w:val="006346A3"/>
    <w:rsid w:val="00635514"/>
    <w:rsid w:val="00642AD6"/>
    <w:rsid w:val="00642DAA"/>
    <w:rsid w:val="00644377"/>
    <w:rsid w:val="00644AA4"/>
    <w:rsid w:val="00645A72"/>
    <w:rsid w:val="00645A9A"/>
    <w:rsid w:val="006460B0"/>
    <w:rsid w:val="00646208"/>
    <w:rsid w:val="00646E4A"/>
    <w:rsid w:val="006475C5"/>
    <w:rsid w:val="006500AC"/>
    <w:rsid w:val="006517C9"/>
    <w:rsid w:val="00653B27"/>
    <w:rsid w:val="006557A2"/>
    <w:rsid w:val="00657318"/>
    <w:rsid w:val="00657446"/>
    <w:rsid w:val="0066261F"/>
    <w:rsid w:val="0066740C"/>
    <w:rsid w:val="00667616"/>
    <w:rsid w:val="006709C4"/>
    <w:rsid w:val="006709CA"/>
    <w:rsid w:val="00673094"/>
    <w:rsid w:val="00673C69"/>
    <w:rsid w:val="0067675B"/>
    <w:rsid w:val="00676A3D"/>
    <w:rsid w:val="00677682"/>
    <w:rsid w:val="00682648"/>
    <w:rsid w:val="00683DF9"/>
    <w:rsid w:val="0068438A"/>
    <w:rsid w:val="006911F0"/>
    <w:rsid w:val="00693BC8"/>
    <w:rsid w:val="00694CB8"/>
    <w:rsid w:val="006954A7"/>
    <w:rsid w:val="006965DF"/>
    <w:rsid w:val="00696673"/>
    <w:rsid w:val="006A0E8B"/>
    <w:rsid w:val="006A0ED0"/>
    <w:rsid w:val="006A1588"/>
    <w:rsid w:val="006A64C3"/>
    <w:rsid w:val="006A64D8"/>
    <w:rsid w:val="006A6CD1"/>
    <w:rsid w:val="006A719D"/>
    <w:rsid w:val="006B0347"/>
    <w:rsid w:val="006B0E72"/>
    <w:rsid w:val="006B1B3B"/>
    <w:rsid w:val="006B324A"/>
    <w:rsid w:val="006B3AE0"/>
    <w:rsid w:val="006B43EE"/>
    <w:rsid w:val="006B63B3"/>
    <w:rsid w:val="006B6569"/>
    <w:rsid w:val="006C4F6B"/>
    <w:rsid w:val="006D04B5"/>
    <w:rsid w:val="006D114F"/>
    <w:rsid w:val="006D1EE4"/>
    <w:rsid w:val="006D34D1"/>
    <w:rsid w:val="006D731F"/>
    <w:rsid w:val="006E1B89"/>
    <w:rsid w:val="006E3D13"/>
    <w:rsid w:val="006E4F1D"/>
    <w:rsid w:val="006E6079"/>
    <w:rsid w:val="006F1E8D"/>
    <w:rsid w:val="006F3129"/>
    <w:rsid w:val="006F372B"/>
    <w:rsid w:val="006F526A"/>
    <w:rsid w:val="006F6122"/>
    <w:rsid w:val="006F7539"/>
    <w:rsid w:val="0070094C"/>
    <w:rsid w:val="00701651"/>
    <w:rsid w:val="007017DE"/>
    <w:rsid w:val="00702CB5"/>
    <w:rsid w:val="00706101"/>
    <w:rsid w:val="00712129"/>
    <w:rsid w:val="00714363"/>
    <w:rsid w:val="00715A56"/>
    <w:rsid w:val="00715A8C"/>
    <w:rsid w:val="00715F93"/>
    <w:rsid w:val="00721148"/>
    <w:rsid w:val="00721162"/>
    <w:rsid w:val="00722BAF"/>
    <w:rsid w:val="00723541"/>
    <w:rsid w:val="007239CA"/>
    <w:rsid w:val="00725EBC"/>
    <w:rsid w:val="00730F4F"/>
    <w:rsid w:val="00731E94"/>
    <w:rsid w:val="007354E6"/>
    <w:rsid w:val="007372CF"/>
    <w:rsid w:val="0073740C"/>
    <w:rsid w:val="00737D77"/>
    <w:rsid w:val="007413E7"/>
    <w:rsid w:val="00743134"/>
    <w:rsid w:val="00745633"/>
    <w:rsid w:val="007476E8"/>
    <w:rsid w:val="007536C1"/>
    <w:rsid w:val="00754621"/>
    <w:rsid w:val="007552D5"/>
    <w:rsid w:val="00755FB2"/>
    <w:rsid w:val="00756200"/>
    <w:rsid w:val="00757F35"/>
    <w:rsid w:val="00761D31"/>
    <w:rsid w:val="00761DF7"/>
    <w:rsid w:val="007627B5"/>
    <w:rsid w:val="007635AE"/>
    <w:rsid w:val="007635DD"/>
    <w:rsid w:val="00765C84"/>
    <w:rsid w:val="007673FA"/>
    <w:rsid w:val="00767721"/>
    <w:rsid w:val="00767D81"/>
    <w:rsid w:val="007707DF"/>
    <w:rsid w:val="00770E53"/>
    <w:rsid w:val="0077192E"/>
    <w:rsid w:val="007719BE"/>
    <w:rsid w:val="00772C22"/>
    <w:rsid w:val="00774509"/>
    <w:rsid w:val="0077512E"/>
    <w:rsid w:val="00775263"/>
    <w:rsid w:val="00781DAB"/>
    <w:rsid w:val="00782FD7"/>
    <w:rsid w:val="00785F79"/>
    <w:rsid w:val="0078683A"/>
    <w:rsid w:val="00790C2E"/>
    <w:rsid w:val="00790D04"/>
    <w:rsid w:val="00790E30"/>
    <w:rsid w:val="007956AE"/>
    <w:rsid w:val="00795AB0"/>
    <w:rsid w:val="007967F9"/>
    <w:rsid w:val="007A02C7"/>
    <w:rsid w:val="007A0896"/>
    <w:rsid w:val="007A2256"/>
    <w:rsid w:val="007A45A6"/>
    <w:rsid w:val="007A4FA6"/>
    <w:rsid w:val="007B03F2"/>
    <w:rsid w:val="007B342F"/>
    <w:rsid w:val="007B46E6"/>
    <w:rsid w:val="007B4EEA"/>
    <w:rsid w:val="007B5931"/>
    <w:rsid w:val="007C002F"/>
    <w:rsid w:val="007C1CDA"/>
    <w:rsid w:val="007C1D1D"/>
    <w:rsid w:val="007C35A9"/>
    <w:rsid w:val="007C4F64"/>
    <w:rsid w:val="007C53A8"/>
    <w:rsid w:val="007C579D"/>
    <w:rsid w:val="007C6C5D"/>
    <w:rsid w:val="007C75F6"/>
    <w:rsid w:val="007C7EB0"/>
    <w:rsid w:val="007D1788"/>
    <w:rsid w:val="007D1B2F"/>
    <w:rsid w:val="007D2637"/>
    <w:rsid w:val="007D28D0"/>
    <w:rsid w:val="007D3254"/>
    <w:rsid w:val="007D480F"/>
    <w:rsid w:val="007D55B6"/>
    <w:rsid w:val="007D56F5"/>
    <w:rsid w:val="007D7E8D"/>
    <w:rsid w:val="007E17BD"/>
    <w:rsid w:val="007E20D7"/>
    <w:rsid w:val="007E264D"/>
    <w:rsid w:val="007E4C88"/>
    <w:rsid w:val="007E4F74"/>
    <w:rsid w:val="007E7357"/>
    <w:rsid w:val="007F041D"/>
    <w:rsid w:val="007F1D23"/>
    <w:rsid w:val="007F3727"/>
    <w:rsid w:val="007F4AD7"/>
    <w:rsid w:val="007F60ED"/>
    <w:rsid w:val="008005C1"/>
    <w:rsid w:val="00802259"/>
    <w:rsid w:val="008027A8"/>
    <w:rsid w:val="00803C5D"/>
    <w:rsid w:val="00804EFD"/>
    <w:rsid w:val="00805479"/>
    <w:rsid w:val="008102E3"/>
    <w:rsid w:val="00813A73"/>
    <w:rsid w:val="008145E6"/>
    <w:rsid w:val="00814C9B"/>
    <w:rsid w:val="008153AB"/>
    <w:rsid w:val="00816F3A"/>
    <w:rsid w:val="0082035A"/>
    <w:rsid w:val="00821E33"/>
    <w:rsid w:val="008243F8"/>
    <w:rsid w:val="00826275"/>
    <w:rsid w:val="00826450"/>
    <w:rsid w:val="00826DA7"/>
    <w:rsid w:val="008302C6"/>
    <w:rsid w:val="00834418"/>
    <w:rsid w:val="008355F9"/>
    <w:rsid w:val="008361B7"/>
    <w:rsid w:val="00836229"/>
    <w:rsid w:val="00836936"/>
    <w:rsid w:val="00837016"/>
    <w:rsid w:val="00842BD1"/>
    <w:rsid w:val="00843513"/>
    <w:rsid w:val="008440B9"/>
    <w:rsid w:val="008460A6"/>
    <w:rsid w:val="00847966"/>
    <w:rsid w:val="00850918"/>
    <w:rsid w:val="00850C03"/>
    <w:rsid w:val="00851AA6"/>
    <w:rsid w:val="0085462A"/>
    <w:rsid w:val="00855313"/>
    <w:rsid w:val="008557EB"/>
    <w:rsid w:val="00856F66"/>
    <w:rsid w:val="00861F4A"/>
    <w:rsid w:val="00863152"/>
    <w:rsid w:val="00863482"/>
    <w:rsid w:val="00866846"/>
    <w:rsid w:val="008702BC"/>
    <w:rsid w:val="00870376"/>
    <w:rsid w:val="00872E52"/>
    <w:rsid w:val="00874DBB"/>
    <w:rsid w:val="00881539"/>
    <w:rsid w:val="008825C0"/>
    <w:rsid w:val="00883153"/>
    <w:rsid w:val="00883BA7"/>
    <w:rsid w:val="00883E02"/>
    <w:rsid w:val="00885FD6"/>
    <w:rsid w:val="00886B38"/>
    <w:rsid w:val="00891122"/>
    <w:rsid w:val="0089173D"/>
    <w:rsid w:val="008A3900"/>
    <w:rsid w:val="008A4F5E"/>
    <w:rsid w:val="008A7D7F"/>
    <w:rsid w:val="008B3274"/>
    <w:rsid w:val="008B3EFF"/>
    <w:rsid w:val="008B4644"/>
    <w:rsid w:val="008B4C2C"/>
    <w:rsid w:val="008B6BC0"/>
    <w:rsid w:val="008C1E7D"/>
    <w:rsid w:val="008C3474"/>
    <w:rsid w:val="008C40F8"/>
    <w:rsid w:val="008C4189"/>
    <w:rsid w:val="008C4935"/>
    <w:rsid w:val="008C5E12"/>
    <w:rsid w:val="008C6D37"/>
    <w:rsid w:val="008C7DD4"/>
    <w:rsid w:val="008D153C"/>
    <w:rsid w:val="008D30BB"/>
    <w:rsid w:val="008D58FA"/>
    <w:rsid w:val="008D64C2"/>
    <w:rsid w:val="008D6952"/>
    <w:rsid w:val="008D7A0A"/>
    <w:rsid w:val="008D7FB4"/>
    <w:rsid w:val="008E1784"/>
    <w:rsid w:val="008E1FB1"/>
    <w:rsid w:val="008E2DBE"/>
    <w:rsid w:val="008E3449"/>
    <w:rsid w:val="008E4D92"/>
    <w:rsid w:val="008E53FA"/>
    <w:rsid w:val="008E5810"/>
    <w:rsid w:val="008E652C"/>
    <w:rsid w:val="008F1306"/>
    <w:rsid w:val="008F27C5"/>
    <w:rsid w:val="008F5998"/>
    <w:rsid w:val="008F63C8"/>
    <w:rsid w:val="008F73C4"/>
    <w:rsid w:val="008F781F"/>
    <w:rsid w:val="008F7D7E"/>
    <w:rsid w:val="00901FCA"/>
    <w:rsid w:val="009036E2"/>
    <w:rsid w:val="00910964"/>
    <w:rsid w:val="009127C6"/>
    <w:rsid w:val="009130D0"/>
    <w:rsid w:val="0091430E"/>
    <w:rsid w:val="00914426"/>
    <w:rsid w:val="0091755F"/>
    <w:rsid w:val="00921D80"/>
    <w:rsid w:val="009247A0"/>
    <w:rsid w:val="009268CE"/>
    <w:rsid w:val="00927BEA"/>
    <w:rsid w:val="00931BF1"/>
    <w:rsid w:val="00931F16"/>
    <w:rsid w:val="0093518B"/>
    <w:rsid w:val="00936617"/>
    <w:rsid w:val="00940050"/>
    <w:rsid w:val="009411AB"/>
    <w:rsid w:val="009413B4"/>
    <w:rsid w:val="00941626"/>
    <w:rsid w:val="00944948"/>
    <w:rsid w:val="00950058"/>
    <w:rsid w:val="0095022F"/>
    <w:rsid w:val="00950C9F"/>
    <w:rsid w:val="0095279D"/>
    <w:rsid w:val="009552FB"/>
    <w:rsid w:val="009561B8"/>
    <w:rsid w:val="0096263E"/>
    <w:rsid w:val="00962ACD"/>
    <w:rsid w:val="00962E37"/>
    <w:rsid w:val="00966CDA"/>
    <w:rsid w:val="00967056"/>
    <w:rsid w:val="00973E27"/>
    <w:rsid w:val="00975F10"/>
    <w:rsid w:val="0097617D"/>
    <w:rsid w:val="00976CF8"/>
    <w:rsid w:val="00980B52"/>
    <w:rsid w:val="009814A6"/>
    <w:rsid w:val="009823E7"/>
    <w:rsid w:val="0098383E"/>
    <w:rsid w:val="009840A4"/>
    <w:rsid w:val="009840F0"/>
    <w:rsid w:val="00986644"/>
    <w:rsid w:val="00986BA9"/>
    <w:rsid w:val="00990607"/>
    <w:rsid w:val="00990C06"/>
    <w:rsid w:val="009A1A3A"/>
    <w:rsid w:val="009A3AF9"/>
    <w:rsid w:val="009A44B5"/>
    <w:rsid w:val="009A4D9D"/>
    <w:rsid w:val="009A521C"/>
    <w:rsid w:val="009A66F1"/>
    <w:rsid w:val="009B16D0"/>
    <w:rsid w:val="009B17A7"/>
    <w:rsid w:val="009B2E20"/>
    <w:rsid w:val="009B5AA2"/>
    <w:rsid w:val="009B68C4"/>
    <w:rsid w:val="009C03B1"/>
    <w:rsid w:val="009C229E"/>
    <w:rsid w:val="009C5455"/>
    <w:rsid w:val="009C578B"/>
    <w:rsid w:val="009C67DD"/>
    <w:rsid w:val="009D01ED"/>
    <w:rsid w:val="009D12ED"/>
    <w:rsid w:val="009D19EA"/>
    <w:rsid w:val="009D308A"/>
    <w:rsid w:val="009D58C1"/>
    <w:rsid w:val="009D7484"/>
    <w:rsid w:val="009E23CF"/>
    <w:rsid w:val="009E3412"/>
    <w:rsid w:val="009E3737"/>
    <w:rsid w:val="009E4002"/>
    <w:rsid w:val="009F2672"/>
    <w:rsid w:val="009F46DA"/>
    <w:rsid w:val="009F5531"/>
    <w:rsid w:val="00A02014"/>
    <w:rsid w:val="00A05955"/>
    <w:rsid w:val="00A07007"/>
    <w:rsid w:val="00A114CC"/>
    <w:rsid w:val="00A135F9"/>
    <w:rsid w:val="00A13753"/>
    <w:rsid w:val="00A14D1E"/>
    <w:rsid w:val="00A15E50"/>
    <w:rsid w:val="00A16228"/>
    <w:rsid w:val="00A216AF"/>
    <w:rsid w:val="00A21FAB"/>
    <w:rsid w:val="00A22C09"/>
    <w:rsid w:val="00A233F9"/>
    <w:rsid w:val="00A23BFE"/>
    <w:rsid w:val="00A24626"/>
    <w:rsid w:val="00A26180"/>
    <w:rsid w:val="00A30542"/>
    <w:rsid w:val="00A3184F"/>
    <w:rsid w:val="00A332B0"/>
    <w:rsid w:val="00A36388"/>
    <w:rsid w:val="00A3754D"/>
    <w:rsid w:val="00A3781E"/>
    <w:rsid w:val="00A42425"/>
    <w:rsid w:val="00A4245E"/>
    <w:rsid w:val="00A464D2"/>
    <w:rsid w:val="00A50823"/>
    <w:rsid w:val="00A50B54"/>
    <w:rsid w:val="00A51502"/>
    <w:rsid w:val="00A522C5"/>
    <w:rsid w:val="00A544AF"/>
    <w:rsid w:val="00A56754"/>
    <w:rsid w:val="00A620C8"/>
    <w:rsid w:val="00A6385C"/>
    <w:rsid w:val="00A64114"/>
    <w:rsid w:val="00A641E3"/>
    <w:rsid w:val="00A670E2"/>
    <w:rsid w:val="00A67D4D"/>
    <w:rsid w:val="00A721AA"/>
    <w:rsid w:val="00A74EA2"/>
    <w:rsid w:val="00A75328"/>
    <w:rsid w:val="00A75A44"/>
    <w:rsid w:val="00A75D1E"/>
    <w:rsid w:val="00A75FB2"/>
    <w:rsid w:val="00A76843"/>
    <w:rsid w:val="00A77695"/>
    <w:rsid w:val="00A80EC3"/>
    <w:rsid w:val="00A84535"/>
    <w:rsid w:val="00A92DDE"/>
    <w:rsid w:val="00A948C2"/>
    <w:rsid w:val="00A95ABE"/>
    <w:rsid w:val="00A967F2"/>
    <w:rsid w:val="00A969FF"/>
    <w:rsid w:val="00A97304"/>
    <w:rsid w:val="00A974EA"/>
    <w:rsid w:val="00AA0CF4"/>
    <w:rsid w:val="00AA16A2"/>
    <w:rsid w:val="00AA23CB"/>
    <w:rsid w:val="00AA25F0"/>
    <w:rsid w:val="00AA3AAE"/>
    <w:rsid w:val="00AA4378"/>
    <w:rsid w:val="00AA467B"/>
    <w:rsid w:val="00AA5145"/>
    <w:rsid w:val="00AA57AC"/>
    <w:rsid w:val="00AA59FF"/>
    <w:rsid w:val="00AA5B42"/>
    <w:rsid w:val="00AB2D72"/>
    <w:rsid w:val="00AB2DDD"/>
    <w:rsid w:val="00AB4223"/>
    <w:rsid w:val="00AB4AAA"/>
    <w:rsid w:val="00AB73E9"/>
    <w:rsid w:val="00AB74EF"/>
    <w:rsid w:val="00AC7033"/>
    <w:rsid w:val="00AC7322"/>
    <w:rsid w:val="00AC762B"/>
    <w:rsid w:val="00AC7934"/>
    <w:rsid w:val="00AD0184"/>
    <w:rsid w:val="00AD1856"/>
    <w:rsid w:val="00AD2AED"/>
    <w:rsid w:val="00AD41FE"/>
    <w:rsid w:val="00AD6D21"/>
    <w:rsid w:val="00AD7D1C"/>
    <w:rsid w:val="00AE02C0"/>
    <w:rsid w:val="00AE1B72"/>
    <w:rsid w:val="00AE58C5"/>
    <w:rsid w:val="00AE6507"/>
    <w:rsid w:val="00AE773F"/>
    <w:rsid w:val="00AF04AE"/>
    <w:rsid w:val="00AF10F6"/>
    <w:rsid w:val="00AF3481"/>
    <w:rsid w:val="00AF4771"/>
    <w:rsid w:val="00AF6A7B"/>
    <w:rsid w:val="00B01394"/>
    <w:rsid w:val="00B021A4"/>
    <w:rsid w:val="00B0240E"/>
    <w:rsid w:val="00B05E7A"/>
    <w:rsid w:val="00B06F94"/>
    <w:rsid w:val="00B07E35"/>
    <w:rsid w:val="00B07E3A"/>
    <w:rsid w:val="00B14290"/>
    <w:rsid w:val="00B15324"/>
    <w:rsid w:val="00B167F5"/>
    <w:rsid w:val="00B16A56"/>
    <w:rsid w:val="00B225EB"/>
    <w:rsid w:val="00B22605"/>
    <w:rsid w:val="00B2478D"/>
    <w:rsid w:val="00B2590D"/>
    <w:rsid w:val="00B279A8"/>
    <w:rsid w:val="00B309A7"/>
    <w:rsid w:val="00B31800"/>
    <w:rsid w:val="00B32245"/>
    <w:rsid w:val="00B3225A"/>
    <w:rsid w:val="00B33C42"/>
    <w:rsid w:val="00B35090"/>
    <w:rsid w:val="00B358A4"/>
    <w:rsid w:val="00B377DE"/>
    <w:rsid w:val="00B40403"/>
    <w:rsid w:val="00B40626"/>
    <w:rsid w:val="00B417E3"/>
    <w:rsid w:val="00B430B8"/>
    <w:rsid w:val="00B43955"/>
    <w:rsid w:val="00B4558E"/>
    <w:rsid w:val="00B45FC1"/>
    <w:rsid w:val="00B505E2"/>
    <w:rsid w:val="00B52755"/>
    <w:rsid w:val="00B53A5A"/>
    <w:rsid w:val="00B54354"/>
    <w:rsid w:val="00B54FB7"/>
    <w:rsid w:val="00B6188F"/>
    <w:rsid w:val="00B62B68"/>
    <w:rsid w:val="00B6446F"/>
    <w:rsid w:val="00B65C56"/>
    <w:rsid w:val="00B67DD8"/>
    <w:rsid w:val="00B7006B"/>
    <w:rsid w:val="00B71DE4"/>
    <w:rsid w:val="00B72C9B"/>
    <w:rsid w:val="00B739CC"/>
    <w:rsid w:val="00B75D53"/>
    <w:rsid w:val="00B803CE"/>
    <w:rsid w:val="00B8135C"/>
    <w:rsid w:val="00B81FFF"/>
    <w:rsid w:val="00B83841"/>
    <w:rsid w:val="00B83D2E"/>
    <w:rsid w:val="00B84650"/>
    <w:rsid w:val="00B84CB2"/>
    <w:rsid w:val="00B856A9"/>
    <w:rsid w:val="00B8730A"/>
    <w:rsid w:val="00B8775D"/>
    <w:rsid w:val="00B903F8"/>
    <w:rsid w:val="00B9092E"/>
    <w:rsid w:val="00B94388"/>
    <w:rsid w:val="00B96107"/>
    <w:rsid w:val="00BA06D5"/>
    <w:rsid w:val="00BA14E7"/>
    <w:rsid w:val="00BA18AF"/>
    <w:rsid w:val="00BA2593"/>
    <w:rsid w:val="00BA3EF3"/>
    <w:rsid w:val="00BA406A"/>
    <w:rsid w:val="00BA4217"/>
    <w:rsid w:val="00BA738F"/>
    <w:rsid w:val="00BB043B"/>
    <w:rsid w:val="00BB2F5D"/>
    <w:rsid w:val="00BB6970"/>
    <w:rsid w:val="00BC0140"/>
    <w:rsid w:val="00BC097A"/>
    <w:rsid w:val="00BC120E"/>
    <w:rsid w:val="00BC1AD4"/>
    <w:rsid w:val="00BC1AF5"/>
    <w:rsid w:val="00BC2E01"/>
    <w:rsid w:val="00BC4545"/>
    <w:rsid w:val="00BC4D90"/>
    <w:rsid w:val="00BC6BCF"/>
    <w:rsid w:val="00BC75E9"/>
    <w:rsid w:val="00BD17A6"/>
    <w:rsid w:val="00BD1867"/>
    <w:rsid w:val="00BD1E3E"/>
    <w:rsid w:val="00BD1E4A"/>
    <w:rsid w:val="00BD3E06"/>
    <w:rsid w:val="00BD4941"/>
    <w:rsid w:val="00BD72F5"/>
    <w:rsid w:val="00BE06D3"/>
    <w:rsid w:val="00BE0A3D"/>
    <w:rsid w:val="00BE136C"/>
    <w:rsid w:val="00BE1ACC"/>
    <w:rsid w:val="00BE6256"/>
    <w:rsid w:val="00BE6A6B"/>
    <w:rsid w:val="00BE6C02"/>
    <w:rsid w:val="00BF06BC"/>
    <w:rsid w:val="00BF092E"/>
    <w:rsid w:val="00BF170B"/>
    <w:rsid w:val="00BF6148"/>
    <w:rsid w:val="00BF7AA6"/>
    <w:rsid w:val="00BF7DA7"/>
    <w:rsid w:val="00BF7FB8"/>
    <w:rsid w:val="00C04D40"/>
    <w:rsid w:val="00C056EE"/>
    <w:rsid w:val="00C066AA"/>
    <w:rsid w:val="00C06C5B"/>
    <w:rsid w:val="00C10208"/>
    <w:rsid w:val="00C11A62"/>
    <w:rsid w:val="00C136E3"/>
    <w:rsid w:val="00C14A4C"/>
    <w:rsid w:val="00C2178C"/>
    <w:rsid w:val="00C22406"/>
    <w:rsid w:val="00C27F5E"/>
    <w:rsid w:val="00C30487"/>
    <w:rsid w:val="00C315E5"/>
    <w:rsid w:val="00C355B1"/>
    <w:rsid w:val="00C36F0D"/>
    <w:rsid w:val="00C40360"/>
    <w:rsid w:val="00C40377"/>
    <w:rsid w:val="00C406E6"/>
    <w:rsid w:val="00C44D56"/>
    <w:rsid w:val="00C45720"/>
    <w:rsid w:val="00C45F5A"/>
    <w:rsid w:val="00C46198"/>
    <w:rsid w:val="00C464FF"/>
    <w:rsid w:val="00C53355"/>
    <w:rsid w:val="00C53760"/>
    <w:rsid w:val="00C54875"/>
    <w:rsid w:val="00C565C0"/>
    <w:rsid w:val="00C56FFB"/>
    <w:rsid w:val="00C6042E"/>
    <w:rsid w:val="00C623AD"/>
    <w:rsid w:val="00C628AB"/>
    <w:rsid w:val="00C64E6E"/>
    <w:rsid w:val="00C656AA"/>
    <w:rsid w:val="00C6690E"/>
    <w:rsid w:val="00C66B63"/>
    <w:rsid w:val="00C672A3"/>
    <w:rsid w:val="00C7000F"/>
    <w:rsid w:val="00C71262"/>
    <w:rsid w:val="00C73310"/>
    <w:rsid w:val="00C81A04"/>
    <w:rsid w:val="00C8261B"/>
    <w:rsid w:val="00C82B90"/>
    <w:rsid w:val="00C8547E"/>
    <w:rsid w:val="00C90D82"/>
    <w:rsid w:val="00C91E4C"/>
    <w:rsid w:val="00C92F06"/>
    <w:rsid w:val="00C9397A"/>
    <w:rsid w:val="00C959B3"/>
    <w:rsid w:val="00CA03A4"/>
    <w:rsid w:val="00CA1C7A"/>
    <w:rsid w:val="00CA2619"/>
    <w:rsid w:val="00CA2D3B"/>
    <w:rsid w:val="00CA357D"/>
    <w:rsid w:val="00CA4038"/>
    <w:rsid w:val="00CA5594"/>
    <w:rsid w:val="00CA72C7"/>
    <w:rsid w:val="00CB2893"/>
    <w:rsid w:val="00CB401B"/>
    <w:rsid w:val="00CC60EF"/>
    <w:rsid w:val="00CC65D8"/>
    <w:rsid w:val="00CC680C"/>
    <w:rsid w:val="00CC715C"/>
    <w:rsid w:val="00CD0F0A"/>
    <w:rsid w:val="00CD2075"/>
    <w:rsid w:val="00CD5A53"/>
    <w:rsid w:val="00CD7523"/>
    <w:rsid w:val="00CE0178"/>
    <w:rsid w:val="00CE1D03"/>
    <w:rsid w:val="00CE2491"/>
    <w:rsid w:val="00CE50A0"/>
    <w:rsid w:val="00CE60D4"/>
    <w:rsid w:val="00CE692B"/>
    <w:rsid w:val="00CE6EB7"/>
    <w:rsid w:val="00CF1A69"/>
    <w:rsid w:val="00CF22B5"/>
    <w:rsid w:val="00CF2C3B"/>
    <w:rsid w:val="00CF448B"/>
    <w:rsid w:val="00CF49D5"/>
    <w:rsid w:val="00CF590E"/>
    <w:rsid w:val="00D00117"/>
    <w:rsid w:val="00D00BA6"/>
    <w:rsid w:val="00D015FC"/>
    <w:rsid w:val="00D02871"/>
    <w:rsid w:val="00D02A5C"/>
    <w:rsid w:val="00D04238"/>
    <w:rsid w:val="00D04358"/>
    <w:rsid w:val="00D05317"/>
    <w:rsid w:val="00D054F0"/>
    <w:rsid w:val="00D05CC4"/>
    <w:rsid w:val="00D06737"/>
    <w:rsid w:val="00D06AD5"/>
    <w:rsid w:val="00D07442"/>
    <w:rsid w:val="00D100D1"/>
    <w:rsid w:val="00D112B9"/>
    <w:rsid w:val="00D113B6"/>
    <w:rsid w:val="00D1241C"/>
    <w:rsid w:val="00D21FC1"/>
    <w:rsid w:val="00D23DC3"/>
    <w:rsid w:val="00D23F99"/>
    <w:rsid w:val="00D241D9"/>
    <w:rsid w:val="00D2533D"/>
    <w:rsid w:val="00D25DBA"/>
    <w:rsid w:val="00D26010"/>
    <w:rsid w:val="00D264E2"/>
    <w:rsid w:val="00D3002F"/>
    <w:rsid w:val="00D301F6"/>
    <w:rsid w:val="00D32516"/>
    <w:rsid w:val="00D32673"/>
    <w:rsid w:val="00D3337D"/>
    <w:rsid w:val="00D339DB"/>
    <w:rsid w:val="00D34238"/>
    <w:rsid w:val="00D351DB"/>
    <w:rsid w:val="00D351DC"/>
    <w:rsid w:val="00D35296"/>
    <w:rsid w:val="00D357D1"/>
    <w:rsid w:val="00D3602D"/>
    <w:rsid w:val="00D36D09"/>
    <w:rsid w:val="00D376FF"/>
    <w:rsid w:val="00D40C0F"/>
    <w:rsid w:val="00D42243"/>
    <w:rsid w:val="00D43339"/>
    <w:rsid w:val="00D44ACE"/>
    <w:rsid w:val="00D4572A"/>
    <w:rsid w:val="00D47B08"/>
    <w:rsid w:val="00D5174C"/>
    <w:rsid w:val="00D52C7B"/>
    <w:rsid w:val="00D52D8E"/>
    <w:rsid w:val="00D534BE"/>
    <w:rsid w:val="00D53E5F"/>
    <w:rsid w:val="00D541F4"/>
    <w:rsid w:val="00D5429A"/>
    <w:rsid w:val="00D56CA8"/>
    <w:rsid w:val="00D57C08"/>
    <w:rsid w:val="00D64EF5"/>
    <w:rsid w:val="00D66992"/>
    <w:rsid w:val="00D676EB"/>
    <w:rsid w:val="00D70440"/>
    <w:rsid w:val="00D73B00"/>
    <w:rsid w:val="00D75502"/>
    <w:rsid w:val="00D80FD4"/>
    <w:rsid w:val="00D829E3"/>
    <w:rsid w:val="00D83BA2"/>
    <w:rsid w:val="00D84080"/>
    <w:rsid w:val="00D91508"/>
    <w:rsid w:val="00D920A1"/>
    <w:rsid w:val="00D92A1B"/>
    <w:rsid w:val="00D92E93"/>
    <w:rsid w:val="00D931A0"/>
    <w:rsid w:val="00D939C7"/>
    <w:rsid w:val="00D95883"/>
    <w:rsid w:val="00D95DDB"/>
    <w:rsid w:val="00D96189"/>
    <w:rsid w:val="00D97369"/>
    <w:rsid w:val="00D97EA3"/>
    <w:rsid w:val="00DA07E1"/>
    <w:rsid w:val="00DA186A"/>
    <w:rsid w:val="00DA21CB"/>
    <w:rsid w:val="00DA2D54"/>
    <w:rsid w:val="00DA2F29"/>
    <w:rsid w:val="00DA5A52"/>
    <w:rsid w:val="00DA74D5"/>
    <w:rsid w:val="00DB23F3"/>
    <w:rsid w:val="00DB45F7"/>
    <w:rsid w:val="00DB6713"/>
    <w:rsid w:val="00DC05D3"/>
    <w:rsid w:val="00DC062E"/>
    <w:rsid w:val="00DC0ADC"/>
    <w:rsid w:val="00DC353B"/>
    <w:rsid w:val="00DC5E33"/>
    <w:rsid w:val="00DC683A"/>
    <w:rsid w:val="00DC6F2B"/>
    <w:rsid w:val="00DC6F30"/>
    <w:rsid w:val="00DC78D1"/>
    <w:rsid w:val="00DD07B5"/>
    <w:rsid w:val="00DD3914"/>
    <w:rsid w:val="00DD40BB"/>
    <w:rsid w:val="00DD5A1E"/>
    <w:rsid w:val="00DD5F64"/>
    <w:rsid w:val="00DD68BA"/>
    <w:rsid w:val="00DE4160"/>
    <w:rsid w:val="00DE4B47"/>
    <w:rsid w:val="00DE4FAC"/>
    <w:rsid w:val="00DF24DF"/>
    <w:rsid w:val="00DF54BD"/>
    <w:rsid w:val="00DF598A"/>
    <w:rsid w:val="00DF5A3D"/>
    <w:rsid w:val="00DF6DAA"/>
    <w:rsid w:val="00DF7AD4"/>
    <w:rsid w:val="00E0048F"/>
    <w:rsid w:val="00E00EFD"/>
    <w:rsid w:val="00E02AAD"/>
    <w:rsid w:val="00E03F0B"/>
    <w:rsid w:val="00E04134"/>
    <w:rsid w:val="00E069DD"/>
    <w:rsid w:val="00E122CB"/>
    <w:rsid w:val="00E12E4C"/>
    <w:rsid w:val="00E15B31"/>
    <w:rsid w:val="00E20A61"/>
    <w:rsid w:val="00E21AEE"/>
    <w:rsid w:val="00E21D5D"/>
    <w:rsid w:val="00E241A2"/>
    <w:rsid w:val="00E26809"/>
    <w:rsid w:val="00E26A92"/>
    <w:rsid w:val="00E27B8C"/>
    <w:rsid w:val="00E302F4"/>
    <w:rsid w:val="00E30E39"/>
    <w:rsid w:val="00E33B03"/>
    <w:rsid w:val="00E3592D"/>
    <w:rsid w:val="00E36883"/>
    <w:rsid w:val="00E37588"/>
    <w:rsid w:val="00E37F0B"/>
    <w:rsid w:val="00E4056E"/>
    <w:rsid w:val="00E40B39"/>
    <w:rsid w:val="00E430F0"/>
    <w:rsid w:val="00E45AD7"/>
    <w:rsid w:val="00E45EF6"/>
    <w:rsid w:val="00E50D0C"/>
    <w:rsid w:val="00E52B16"/>
    <w:rsid w:val="00E54073"/>
    <w:rsid w:val="00E57CC9"/>
    <w:rsid w:val="00E6012F"/>
    <w:rsid w:val="00E66FEF"/>
    <w:rsid w:val="00E71022"/>
    <w:rsid w:val="00E74901"/>
    <w:rsid w:val="00E750A7"/>
    <w:rsid w:val="00E75524"/>
    <w:rsid w:val="00E77712"/>
    <w:rsid w:val="00E801FD"/>
    <w:rsid w:val="00E85F12"/>
    <w:rsid w:val="00E868BE"/>
    <w:rsid w:val="00E92BF0"/>
    <w:rsid w:val="00E92D17"/>
    <w:rsid w:val="00E93636"/>
    <w:rsid w:val="00E939C2"/>
    <w:rsid w:val="00E9452D"/>
    <w:rsid w:val="00E95278"/>
    <w:rsid w:val="00E96EBD"/>
    <w:rsid w:val="00E97ABB"/>
    <w:rsid w:val="00EA244E"/>
    <w:rsid w:val="00EA5AAA"/>
    <w:rsid w:val="00EB40E2"/>
    <w:rsid w:val="00EB6266"/>
    <w:rsid w:val="00EB72D7"/>
    <w:rsid w:val="00EC1006"/>
    <w:rsid w:val="00EC561F"/>
    <w:rsid w:val="00EC7CA8"/>
    <w:rsid w:val="00ED1152"/>
    <w:rsid w:val="00ED27C7"/>
    <w:rsid w:val="00ED3013"/>
    <w:rsid w:val="00ED33B7"/>
    <w:rsid w:val="00ED434E"/>
    <w:rsid w:val="00ED48EF"/>
    <w:rsid w:val="00ED60A8"/>
    <w:rsid w:val="00ED6DEA"/>
    <w:rsid w:val="00ED78AF"/>
    <w:rsid w:val="00EE1673"/>
    <w:rsid w:val="00EE55EC"/>
    <w:rsid w:val="00EE5C15"/>
    <w:rsid w:val="00EE5D3E"/>
    <w:rsid w:val="00EF0156"/>
    <w:rsid w:val="00EF1BA0"/>
    <w:rsid w:val="00EF5024"/>
    <w:rsid w:val="00EF515A"/>
    <w:rsid w:val="00EF72C4"/>
    <w:rsid w:val="00EF7CA3"/>
    <w:rsid w:val="00F013E2"/>
    <w:rsid w:val="00F01D10"/>
    <w:rsid w:val="00F0386C"/>
    <w:rsid w:val="00F03F1A"/>
    <w:rsid w:val="00F044C0"/>
    <w:rsid w:val="00F06AF5"/>
    <w:rsid w:val="00F07504"/>
    <w:rsid w:val="00F10E4F"/>
    <w:rsid w:val="00F113DC"/>
    <w:rsid w:val="00F11FFD"/>
    <w:rsid w:val="00F1210E"/>
    <w:rsid w:val="00F135A9"/>
    <w:rsid w:val="00F135C6"/>
    <w:rsid w:val="00F14B42"/>
    <w:rsid w:val="00F20A3C"/>
    <w:rsid w:val="00F20E82"/>
    <w:rsid w:val="00F22152"/>
    <w:rsid w:val="00F239E4"/>
    <w:rsid w:val="00F25A47"/>
    <w:rsid w:val="00F2664E"/>
    <w:rsid w:val="00F31696"/>
    <w:rsid w:val="00F35552"/>
    <w:rsid w:val="00F37ABC"/>
    <w:rsid w:val="00F42CF9"/>
    <w:rsid w:val="00F44357"/>
    <w:rsid w:val="00F44765"/>
    <w:rsid w:val="00F458E4"/>
    <w:rsid w:val="00F46F5D"/>
    <w:rsid w:val="00F50DD7"/>
    <w:rsid w:val="00F5135F"/>
    <w:rsid w:val="00F5162B"/>
    <w:rsid w:val="00F52C22"/>
    <w:rsid w:val="00F54D4D"/>
    <w:rsid w:val="00F6418A"/>
    <w:rsid w:val="00F73371"/>
    <w:rsid w:val="00F73C59"/>
    <w:rsid w:val="00F74050"/>
    <w:rsid w:val="00F7424E"/>
    <w:rsid w:val="00F747CE"/>
    <w:rsid w:val="00F74B86"/>
    <w:rsid w:val="00F80E29"/>
    <w:rsid w:val="00F80EB6"/>
    <w:rsid w:val="00F844F2"/>
    <w:rsid w:val="00F84922"/>
    <w:rsid w:val="00F90952"/>
    <w:rsid w:val="00F90B51"/>
    <w:rsid w:val="00F91E69"/>
    <w:rsid w:val="00F91FDB"/>
    <w:rsid w:val="00F94BA4"/>
    <w:rsid w:val="00F951E2"/>
    <w:rsid w:val="00F96223"/>
    <w:rsid w:val="00F976BA"/>
    <w:rsid w:val="00F97819"/>
    <w:rsid w:val="00F979BC"/>
    <w:rsid w:val="00FA0269"/>
    <w:rsid w:val="00FA19E7"/>
    <w:rsid w:val="00FA57C4"/>
    <w:rsid w:val="00FA7F2C"/>
    <w:rsid w:val="00FB1391"/>
    <w:rsid w:val="00FB1F0F"/>
    <w:rsid w:val="00FB3652"/>
    <w:rsid w:val="00FB4EAC"/>
    <w:rsid w:val="00FB6A55"/>
    <w:rsid w:val="00FB734E"/>
    <w:rsid w:val="00FC1DF9"/>
    <w:rsid w:val="00FC2FF7"/>
    <w:rsid w:val="00FC3504"/>
    <w:rsid w:val="00FC42E4"/>
    <w:rsid w:val="00FC4AF5"/>
    <w:rsid w:val="00FC570D"/>
    <w:rsid w:val="00FC5AF0"/>
    <w:rsid w:val="00FC5B28"/>
    <w:rsid w:val="00FC6055"/>
    <w:rsid w:val="00FC71F7"/>
    <w:rsid w:val="00FD2CAD"/>
    <w:rsid w:val="00FD6D68"/>
    <w:rsid w:val="00FD6F6B"/>
    <w:rsid w:val="00FE1F8E"/>
    <w:rsid w:val="00FE2D59"/>
    <w:rsid w:val="00FF0493"/>
    <w:rsid w:val="00FF0784"/>
    <w:rsid w:val="00FF3006"/>
    <w:rsid w:val="00FF30EE"/>
    <w:rsid w:val="09F5419F"/>
    <w:rsid w:val="11771034"/>
    <w:rsid w:val="12EE791C"/>
    <w:rsid w:val="1C9706F7"/>
    <w:rsid w:val="1E33399B"/>
    <w:rsid w:val="1EEB9935"/>
    <w:rsid w:val="2BA07020"/>
    <w:rsid w:val="2ECE2853"/>
    <w:rsid w:val="36B935A9"/>
    <w:rsid w:val="36DA224F"/>
    <w:rsid w:val="41D629D7"/>
    <w:rsid w:val="44C2005E"/>
    <w:rsid w:val="46551D0D"/>
    <w:rsid w:val="48742647"/>
    <w:rsid w:val="4DD5F90E"/>
    <w:rsid w:val="4FCE1813"/>
    <w:rsid w:val="55047989"/>
    <w:rsid w:val="55671C2C"/>
    <w:rsid w:val="5D317F73"/>
    <w:rsid w:val="639221EC"/>
    <w:rsid w:val="677BE686"/>
    <w:rsid w:val="6F020DE5"/>
    <w:rsid w:val="72A988F0"/>
    <w:rsid w:val="73EA1ABC"/>
    <w:rsid w:val="745436E9"/>
    <w:rsid w:val="74822F34"/>
    <w:rsid w:val="74F4D506"/>
    <w:rsid w:val="7BC86AA4"/>
    <w:rsid w:val="7C7982DC"/>
    <w:rsid w:val="7C8BFEE5"/>
    <w:rsid w:val="7EFFEBBB"/>
    <w:rsid w:val="7F179B05"/>
    <w:rsid w:val="7F3F8845"/>
    <w:rsid w:val="972D6618"/>
    <w:rsid w:val="BDF69FB8"/>
    <w:rsid w:val="DEFBFE17"/>
    <w:rsid w:val="DF7B4C94"/>
    <w:rsid w:val="F2FEFF2E"/>
    <w:rsid w:val="F95FF594"/>
    <w:rsid w:val="FB8DE199"/>
    <w:rsid w:val="FBD6335B"/>
    <w:rsid w:val="FDAF2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宋体"/>
      <w:kern w:val="2"/>
      <w:sz w:val="32"/>
      <w:szCs w:val="32"/>
      <w:lang w:val="en-US" w:eastAsia="zh-CN" w:bidi="ar-SA"/>
    </w:rPr>
  </w:style>
  <w:style w:type="paragraph" w:styleId="2">
    <w:name w:val="heading 1"/>
    <w:basedOn w:val="1"/>
    <w:next w:val="1"/>
    <w:link w:val="18"/>
    <w:qFormat/>
    <w:uiPriority w:val="9"/>
    <w:pPr>
      <w:spacing w:line="600" w:lineRule="exact"/>
      <w:ind w:firstLine="640"/>
      <w:outlineLvl w:val="0"/>
    </w:pPr>
    <w:rPr>
      <w:rFonts w:ascii="黑体" w:hAnsi="黑体" w:eastAsia="黑体"/>
      <w:color w:val="000000"/>
      <w:kern w:val="0"/>
    </w:rPr>
  </w:style>
  <w:style w:type="paragraph" w:styleId="3">
    <w:name w:val="heading 2"/>
    <w:basedOn w:val="1"/>
    <w:next w:val="1"/>
    <w:link w:val="19"/>
    <w:unhideWhenUsed/>
    <w:qFormat/>
    <w:uiPriority w:val="9"/>
    <w:pPr>
      <w:keepNext/>
      <w:keepLines/>
      <w:spacing w:line="560" w:lineRule="exact"/>
      <w:ind w:firstLine="200" w:firstLineChars="200"/>
      <w:outlineLvl w:val="1"/>
    </w:pPr>
    <w:rPr>
      <w:rFonts w:eastAsia="楷体" w:cs="Times New Roman (标题 CS)"/>
      <w:bCs/>
    </w:rPr>
  </w:style>
  <w:style w:type="paragraph" w:styleId="4">
    <w:name w:val="heading 3"/>
    <w:basedOn w:val="1"/>
    <w:next w:val="1"/>
    <w:link w:val="20"/>
    <w:unhideWhenUsed/>
    <w:qFormat/>
    <w:uiPriority w:val="9"/>
    <w:pPr>
      <w:keepNext/>
      <w:keepLines/>
      <w:spacing w:before="260" w:after="260" w:line="416" w:lineRule="auto"/>
      <w:outlineLvl w:val="2"/>
    </w:pPr>
    <w:rPr>
      <w:b/>
      <w:bCs/>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unhideWhenUsed/>
    <w:qFormat/>
    <w:uiPriority w:val="99"/>
    <w:pPr>
      <w:jc w:val="left"/>
    </w:p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tabs>
        <w:tab w:val="center" w:pos="4153"/>
        <w:tab w:val="right" w:pos="8306"/>
      </w:tabs>
      <w:snapToGrid w:val="0"/>
      <w:jc w:val="center"/>
    </w:pPr>
    <w:rPr>
      <w:sz w:val="18"/>
      <w:szCs w:val="18"/>
    </w:rPr>
  </w:style>
  <w:style w:type="paragraph" w:styleId="8">
    <w:name w:val="footnote text"/>
    <w:basedOn w:val="1"/>
    <w:link w:val="25"/>
    <w:unhideWhenUsed/>
    <w:qFormat/>
    <w:uiPriority w:val="99"/>
    <w:pPr>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kern w:val="0"/>
      <w:sz w:val="24"/>
      <w:szCs w:val="24"/>
    </w:rPr>
  </w:style>
  <w:style w:type="paragraph" w:styleId="10">
    <w:name w:val="annotation subject"/>
    <w:basedOn w:val="5"/>
    <w:next w:val="5"/>
    <w:link w:val="24"/>
    <w:unhideWhenUsed/>
    <w:qFormat/>
    <w:uiPriority w:val="99"/>
    <w:rPr>
      <w:b/>
      <w:bCs/>
    </w:rPr>
  </w:style>
  <w:style w:type="character" w:styleId="13">
    <w:name w:val="page number"/>
    <w:basedOn w:val="12"/>
    <w:unhideWhenUsed/>
    <w:qFormat/>
    <w:uiPriority w:val="99"/>
  </w:style>
  <w:style w:type="character" w:styleId="14">
    <w:name w:val="annotation reference"/>
    <w:basedOn w:val="12"/>
    <w:unhideWhenUsed/>
    <w:qFormat/>
    <w:uiPriority w:val="99"/>
    <w:rPr>
      <w:sz w:val="21"/>
      <w:szCs w:val="21"/>
    </w:rPr>
  </w:style>
  <w:style w:type="character" w:styleId="15">
    <w:name w:val="footnote reference"/>
    <w:basedOn w:val="12"/>
    <w:unhideWhenUsed/>
    <w:qFormat/>
    <w:uiPriority w:val="99"/>
    <w:rPr>
      <w:vertAlign w:val="superscript"/>
    </w:rPr>
  </w:style>
  <w:style w:type="paragraph" w:customStyle="1" w:styleId="16">
    <w:name w:val="修订1"/>
    <w:hidden/>
    <w:semiHidden/>
    <w:qFormat/>
    <w:uiPriority w:val="99"/>
    <w:rPr>
      <w:rFonts w:ascii="仿宋_GB2312" w:hAnsi="仿宋_GB2312" w:eastAsia="仿宋_GB2312" w:cs="宋体"/>
      <w:kern w:val="2"/>
      <w:sz w:val="32"/>
      <w:szCs w:val="32"/>
      <w:lang w:val="en-US" w:eastAsia="zh-CN" w:bidi="ar-SA"/>
    </w:rPr>
  </w:style>
  <w:style w:type="paragraph" w:customStyle="1" w:styleId="17">
    <w:name w:val="修订2"/>
    <w:hidden/>
    <w:semiHidden/>
    <w:qFormat/>
    <w:uiPriority w:val="99"/>
    <w:rPr>
      <w:rFonts w:ascii="仿宋_GB2312" w:hAnsi="仿宋_GB2312" w:eastAsia="仿宋_GB2312" w:cs="宋体"/>
      <w:kern w:val="2"/>
      <w:sz w:val="32"/>
      <w:szCs w:val="32"/>
      <w:lang w:val="en-US" w:eastAsia="zh-CN" w:bidi="ar-SA"/>
    </w:rPr>
  </w:style>
  <w:style w:type="character" w:customStyle="1" w:styleId="18">
    <w:name w:val="标题 1 字符"/>
    <w:basedOn w:val="12"/>
    <w:link w:val="2"/>
    <w:qFormat/>
    <w:uiPriority w:val="9"/>
    <w:rPr>
      <w:rFonts w:ascii="黑体" w:hAnsi="黑体" w:eastAsia="黑体" w:cs="宋体"/>
      <w:color w:val="000000"/>
      <w:kern w:val="0"/>
    </w:rPr>
  </w:style>
  <w:style w:type="character" w:customStyle="1" w:styleId="19">
    <w:name w:val="标题 2 字符"/>
    <w:basedOn w:val="12"/>
    <w:link w:val="3"/>
    <w:qFormat/>
    <w:uiPriority w:val="9"/>
    <w:rPr>
      <w:rFonts w:ascii="Times New Roman" w:hAnsi="Times New Roman" w:eastAsia="楷体" w:cs="Times New Roman (标题 CS)"/>
      <w:bCs/>
      <w:sz w:val="32"/>
      <w:szCs w:val="32"/>
    </w:rPr>
  </w:style>
  <w:style w:type="character" w:customStyle="1" w:styleId="20">
    <w:name w:val="标题 3 字符"/>
    <w:basedOn w:val="12"/>
    <w:link w:val="4"/>
    <w:qFormat/>
    <w:uiPriority w:val="9"/>
    <w:rPr>
      <w:rFonts w:ascii="Times New Roman" w:hAnsi="Times New Roman" w:eastAsia="宋体" w:cs="Times New Roman"/>
      <w:b/>
      <w:bCs/>
      <w:sz w:val="32"/>
      <w:szCs w:val="32"/>
    </w:rPr>
  </w:style>
  <w:style w:type="character" w:customStyle="1" w:styleId="21">
    <w:name w:val="页眉 字符"/>
    <w:basedOn w:val="12"/>
    <w:link w:val="7"/>
    <w:qFormat/>
    <w:uiPriority w:val="99"/>
    <w:rPr>
      <w:rFonts w:ascii="仿宋_GB2312" w:hAnsi="仿宋_GB2312" w:eastAsia="仿宋_GB2312" w:cs="宋体"/>
      <w:sz w:val="18"/>
      <w:szCs w:val="18"/>
    </w:rPr>
  </w:style>
  <w:style w:type="character" w:customStyle="1" w:styleId="22">
    <w:name w:val="页脚 字符"/>
    <w:basedOn w:val="12"/>
    <w:link w:val="6"/>
    <w:qFormat/>
    <w:uiPriority w:val="99"/>
    <w:rPr>
      <w:rFonts w:ascii="仿宋_GB2312" w:hAnsi="仿宋_GB2312" w:eastAsia="仿宋_GB2312" w:cs="宋体"/>
      <w:sz w:val="18"/>
      <w:szCs w:val="18"/>
    </w:rPr>
  </w:style>
  <w:style w:type="character" w:customStyle="1" w:styleId="23">
    <w:name w:val="批注文字 字符"/>
    <w:basedOn w:val="12"/>
    <w:link w:val="5"/>
    <w:semiHidden/>
    <w:qFormat/>
    <w:uiPriority w:val="99"/>
    <w:rPr>
      <w:rFonts w:ascii="仿宋_GB2312" w:hAnsi="仿宋_GB2312" w:eastAsia="仿宋_GB2312" w:cs="宋体"/>
      <w:sz w:val="32"/>
      <w:szCs w:val="32"/>
    </w:rPr>
  </w:style>
  <w:style w:type="character" w:customStyle="1" w:styleId="24">
    <w:name w:val="批注主题 字符"/>
    <w:basedOn w:val="23"/>
    <w:link w:val="10"/>
    <w:semiHidden/>
    <w:qFormat/>
    <w:uiPriority w:val="99"/>
    <w:rPr>
      <w:rFonts w:ascii="仿宋_GB2312" w:hAnsi="仿宋_GB2312" w:eastAsia="仿宋_GB2312" w:cs="宋体"/>
      <w:b/>
      <w:bCs/>
      <w:sz w:val="32"/>
      <w:szCs w:val="32"/>
    </w:rPr>
  </w:style>
  <w:style w:type="character" w:customStyle="1" w:styleId="25">
    <w:name w:val="脚注文本 字符"/>
    <w:basedOn w:val="12"/>
    <w:link w:val="8"/>
    <w:semiHidden/>
    <w:qFormat/>
    <w:uiPriority w:val="99"/>
    <w:rPr>
      <w:rFonts w:ascii="仿宋_GB2312" w:hAnsi="仿宋_GB2312" w:eastAsia="仿宋_GB2312" w:cs="宋体"/>
      <w:sz w:val="18"/>
      <w:szCs w:val="18"/>
    </w:rPr>
  </w:style>
  <w:style w:type="paragraph" w:customStyle="1" w:styleId="26">
    <w:name w:val="Revision"/>
    <w:hidden/>
    <w:semiHidden/>
    <w:qFormat/>
    <w:uiPriority w:val="99"/>
    <w:rPr>
      <w:rFonts w:ascii="仿宋_GB2312" w:hAnsi="仿宋_GB2312" w:eastAsia="仿宋_GB2312" w:cs="宋体"/>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1938</Words>
  <Characters>11051</Characters>
  <Lines>92</Lines>
  <Paragraphs>25</Paragraphs>
  <TotalTime>45</TotalTime>
  <ScaleCrop>false</ScaleCrop>
  <LinksUpToDate>false</LinksUpToDate>
  <CharactersWithSpaces>12964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2023-08-25T11:58:00Z</dcterms:created>
  <dc:creator>bzdt</dc:creator>
  <cp:lastModifiedBy>uos</cp:lastModifiedBy>
  <cp:lastPrinted>2023-08-25T17:49:00Z</cp:lastPrinted>
  <dcterms:modified xsi:type="dcterms:W3CDTF">2023-08-25T09:38:52Z</dcterms:modified>
  <dc:title>市委社会工委市民政局</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