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rPr>
          <w:b/>
          <w:bCs/>
          <w:sz w:val="52"/>
          <w:szCs w:val="52"/>
        </w:rPr>
      </w:pPr>
    </w:p>
    <w:p>
      <w:pPr>
        <w:ind w:firstLine="1044"/>
        <w:rPr>
          <w:b/>
          <w:bCs/>
          <w:sz w:val="52"/>
          <w:szCs w:val="52"/>
        </w:rPr>
      </w:pPr>
    </w:p>
    <w:p>
      <w:pPr>
        <w:ind w:firstLine="0" w:firstLineChars="0"/>
        <w:jc w:val="center"/>
        <w:rPr>
          <w:rFonts w:hint="eastAsia" w:ascii="方正小标宋简体" w:hAnsi="方正小标宋简体" w:eastAsia="方正小标宋简体" w:cstheme="majorEastAsia"/>
          <w:sz w:val="36"/>
          <w:szCs w:val="36"/>
        </w:rPr>
      </w:pPr>
      <w:r>
        <w:rPr>
          <w:rFonts w:hint="eastAsia" w:ascii="方正小标宋简体" w:hAnsi="方正小标宋简体" w:eastAsia="方正小标宋简体" w:cstheme="majorEastAsia"/>
          <w:sz w:val="36"/>
          <w:szCs w:val="36"/>
        </w:rPr>
        <w:t>北京市民政局财政支出项目</w:t>
      </w:r>
    </w:p>
    <w:p>
      <w:pPr>
        <w:ind w:firstLine="0" w:firstLineChars="0"/>
        <w:jc w:val="center"/>
        <w:rPr>
          <w:rFonts w:ascii="方正小标宋简体" w:hAnsi="方正小标宋简体" w:eastAsia="方正小标宋简体" w:cstheme="majorEastAsia"/>
          <w:sz w:val="36"/>
          <w:szCs w:val="36"/>
        </w:rPr>
      </w:pPr>
      <w:r>
        <w:rPr>
          <w:rFonts w:hint="default" w:ascii="方正小标宋简体" w:hAnsi="方正小标宋简体" w:eastAsia="方正小标宋简体" w:cstheme="majorEastAsia"/>
          <w:sz w:val="36"/>
          <w:szCs w:val="36"/>
        </w:rPr>
        <w:t>2022</w:t>
      </w:r>
      <w:r>
        <w:rPr>
          <w:rFonts w:hint="eastAsia" w:ascii="方正小标宋简体" w:hAnsi="方正小标宋简体" w:eastAsia="方正小标宋简体" w:cstheme="majorEastAsia"/>
          <w:sz w:val="36"/>
          <w:szCs w:val="36"/>
          <w:lang w:val="en-US" w:eastAsia="zh-Hans"/>
        </w:rPr>
        <w:t>年度</w:t>
      </w:r>
      <w:r>
        <w:rPr>
          <w:rFonts w:hint="eastAsia" w:ascii="方正小标宋简体" w:hAnsi="方正小标宋简体" w:eastAsia="方正小标宋简体" w:cstheme="majorEastAsia"/>
          <w:sz w:val="36"/>
          <w:szCs w:val="36"/>
        </w:rPr>
        <w:t>绩效评价报告</w:t>
      </w: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p>
    <w:p>
      <w:pPr>
        <w:ind w:firstLine="0" w:firstLineChars="0"/>
        <w:rPr>
          <w:rFonts w:eastAsia="黑体"/>
          <w:sz w:val="30"/>
        </w:rPr>
      </w:pPr>
    </w:p>
    <w:p>
      <w:pPr>
        <w:ind w:firstLine="0" w:firstLineChars="0"/>
        <w:rPr>
          <w:rFonts w:eastAsia="黑体"/>
          <w:sz w:val="30"/>
        </w:rPr>
      </w:pP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p>
    <w:p>
      <w:pPr>
        <w:ind w:firstLine="643"/>
        <w:rPr>
          <w:rFonts w:ascii="仿宋" w:hAnsi="仿宋" w:cs="仿宋_GB2312"/>
        </w:rPr>
      </w:pPr>
      <w:r>
        <w:rPr>
          <w:rFonts w:hint="eastAsia" w:ascii="仿宋" w:hAnsi="仿宋" w:cs="仿宋_GB2312"/>
          <w:b/>
        </w:rPr>
        <mc:AlternateContent>
          <mc:Choice Requires="wps">
            <w:drawing>
              <wp:anchor distT="0" distB="0" distL="114300" distR="114300" simplePos="0" relativeHeight="251663360" behindDoc="0" locked="0" layoutInCell="1" allowOverlap="1">
                <wp:simplePos x="0" y="0"/>
                <wp:positionH relativeFrom="column">
                  <wp:posOffset>1306195</wp:posOffset>
                </wp:positionH>
                <wp:positionV relativeFrom="paragraph">
                  <wp:posOffset>338455</wp:posOffset>
                </wp:positionV>
                <wp:extent cx="4006850" cy="0"/>
                <wp:effectExtent l="0" t="0" r="0" b="0"/>
                <wp:wrapNone/>
                <wp:docPr id="6" name="Line 32"/>
                <wp:cNvGraphicFramePr/>
                <a:graphic xmlns:a="http://schemas.openxmlformats.org/drawingml/2006/main">
                  <a:graphicData uri="http://schemas.microsoft.com/office/word/2010/wordprocessingShape">
                    <wps:wsp>
                      <wps:cNvCnPr/>
                      <wps:spPr bwMode="auto">
                        <a:xfrm>
                          <a:off x="0" y="0"/>
                          <a:ext cx="4006850" cy="0"/>
                        </a:xfrm>
                        <a:prstGeom prst="line">
                          <a:avLst/>
                        </a:prstGeom>
                        <a:noFill/>
                        <a:ln w="6350">
                          <a:solidFill>
                            <a:srgbClr val="000000"/>
                          </a:solidFill>
                          <a:miter lim="800000"/>
                        </a:ln>
                      </wps:spPr>
                      <wps:bodyPr/>
                    </wps:wsp>
                  </a:graphicData>
                </a:graphic>
              </wp:anchor>
            </w:drawing>
          </mc:Choice>
          <mc:Fallback>
            <w:pict>
              <v:line id="Line 32" o:spid="_x0000_s1026" o:spt="20" style="position:absolute;left:0pt;margin-left:102.85pt;margin-top:26.65pt;height:0pt;width:315.5pt;z-index:251663360;mso-width-relative:page;mso-height-relative:page;" filled="f" stroked="t" coordsize="21600,21600" o:gfxdata="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BYAAABkcnMvUEsBAhQAFAAAAAgAh07iQPniKvnWAAAA&#10;CQEAAA8AAAAAAAAAAQAgAAAAOAAAAGRycy9kb3ducmV2LnhtbFBLAQIUABQAAAAIAIdO4kC4zdth&#10;lwEAAC0DAAAOAAAAAAAAAAEAIAAAADsBAABkcnMvZTJvRG9jLnhtbFBLBQYAAAAABgAGAFkBAABE&#10;BQAAAAA=&#10;">
                <v:fill on="f" focussize="0,0"/>
                <v:stroke weight="0.5pt" color="#000000" miterlimit="8" joinstyle="miter"/>
                <v:imagedata o:title=""/>
                <o:lock v:ext="edit" aspectratio="f"/>
              </v:line>
            </w:pict>
          </mc:Fallback>
        </mc:AlternateContent>
      </w:r>
      <w:r>
        <w:rPr>
          <w:rFonts w:hint="eastAsia" w:ascii="仿宋" w:hAnsi="仿宋" w:cs="仿宋_GB2312"/>
          <w:b/>
        </w:rPr>
        <w:t>主管部门</w:t>
      </w:r>
      <w:r>
        <w:rPr>
          <w:rFonts w:hint="eastAsia" w:ascii="仿宋" w:hAnsi="仿宋" w:cs="仿宋_GB2312"/>
        </w:rPr>
        <w:t xml:space="preserve">     </w:t>
      </w:r>
      <w:r>
        <w:rPr>
          <w:rFonts w:ascii="仿宋" w:hAnsi="仿宋" w:cs="仿宋_GB2312"/>
        </w:rPr>
        <w:t xml:space="preserve">         </w:t>
      </w:r>
      <w:r>
        <w:rPr>
          <w:rFonts w:hint="eastAsia" w:ascii="仿宋" w:hAnsi="仿宋" w:cs="仿宋_GB2312"/>
        </w:rPr>
        <w:t>北京市民政局</w:t>
      </w:r>
    </w:p>
    <w:p>
      <w:pPr>
        <w:ind w:firstLine="643"/>
        <w:rPr>
          <w:rFonts w:ascii="仿宋" w:hAnsi="仿宋" w:cs="仿宋_GB2312"/>
        </w:rPr>
      </w:pPr>
      <w:r>
        <w:rPr>
          <w:rFonts w:hint="eastAsia" w:ascii="仿宋" w:hAnsi="仿宋" w:cs="仿宋_GB2312"/>
          <w:b/>
        </w:rPr>
        <mc:AlternateContent>
          <mc:Choice Requires="wps">
            <w:drawing>
              <wp:anchor distT="0" distB="0" distL="114300" distR="114300" simplePos="0" relativeHeight="251662336" behindDoc="0" locked="0" layoutInCell="1" allowOverlap="1">
                <wp:simplePos x="0" y="0"/>
                <wp:positionH relativeFrom="column">
                  <wp:posOffset>1306195</wp:posOffset>
                </wp:positionH>
                <wp:positionV relativeFrom="paragraph">
                  <wp:posOffset>332105</wp:posOffset>
                </wp:positionV>
                <wp:extent cx="4006850" cy="0"/>
                <wp:effectExtent l="0" t="0" r="0" b="0"/>
                <wp:wrapNone/>
                <wp:docPr id="5" name="Line 31"/>
                <wp:cNvGraphicFramePr/>
                <a:graphic xmlns:a="http://schemas.openxmlformats.org/drawingml/2006/main">
                  <a:graphicData uri="http://schemas.microsoft.com/office/word/2010/wordprocessingShape">
                    <wps:wsp>
                      <wps:cNvCnPr/>
                      <wps:spPr bwMode="auto">
                        <a:xfrm>
                          <a:off x="0" y="0"/>
                          <a:ext cx="4006850" cy="0"/>
                        </a:xfrm>
                        <a:prstGeom prst="line">
                          <a:avLst/>
                        </a:prstGeom>
                        <a:noFill/>
                        <a:ln w="6350">
                          <a:solidFill>
                            <a:srgbClr val="000000"/>
                          </a:solidFill>
                          <a:miter lim="800000"/>
                        </a:ln>
                      </wps:spPr>
                      <wps:bodyPr/>
                    </wps:wsp>
                  </a:graphicData>
                </a:graphic>
              </wp:anchor>
            </w:drawing>
          </mc:Choice>
          <mc:Fallback>
            <w:pict>
              <v:line id="Line 31" o:spid="_x0000_s1026" o:spt="20" style="position:absolute;left:0pt;margin-left:102.85pt;margin-top:26.15pt;height:0pt;width:315.5pt;z-index:251662336;mso-width-relative:page;mso-height-relative:page;" filled="f" stroked="t" coordsize="21600,21600" o:gfxdata="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Cgzr0c1gAAAAkB&#10;AAAPAAAAAAAAAAEAIAAAADgAAABkcnMvZG93bnJldi54bWxQSwECFAAUAAAACACHTuJAyGKa7JUB&#10;AAAtAwAADgAAAAAAAAABACAAAAA7AQAAZHJzL2Uyb0RvYy54bWxQSwUGAAAAAAYABgBZAQAAQgUA&#10;AAAA&#10;">
                <v:fill on="f" focussize="0,0"/>
                <v:stroke weight="0.5pt" color="#000000" miterlimit="8" joinstyle="miter"/>
                <v:imagedata o:title=""/>
                <o:lock v:ext="edit" aspectratio="f"/>
              </v:line>
            </w:pict>
          </mc:Fallback>
        </mc:AlternateContent>
      </w:r>
      <w:r>
        <w:rPr>
          <w:rFonts w:hint="eastAsia" w:ascii="仿宋" w:hAnsi="仿宋" w:cs="仿宋_GB2312"/>
          <w:b/>
          <w:lang w:eastAsia="zh-Hans"/>
        </w:rPr>
        <w:t>项目单位</w:t>
      </w:r>
      <w:r>
        <w:rPr>
          <w:rFonts w:hint="eastAsia" w:ascii="仿宋" w:hAnsi="仿宋" w:cs="仿宋_GB2312"/>
          <w:b/>
        </w:rPr>
        <w:t xml:space="preserve">     </w:t>
      </w:r>
      <w:r>
        <w:rPr>
          <w:rFonts w:ascii="仿宋" w:hAnsi="仿宋" w:cs="仿宋_GB2312"/>
          <w:b/>
        </w:rPr>
        <w:t xml:space="preserve">         </w:t>
      </w:r>
      <w:r>
        <w:rPr>
          <w:rFonts w:hint="eastAsia" w:ascii="仿宋" w:hAnsi="仿宋" w:cs="仿宋_GB2312"/>
        </w:rPr>
        <w:t>北京市民政局</w:t>
      </w:r>
    </w:p>
    <w:p>
      <w:pPr>
        <w:ind w:firstLine="643"/>
        <w:rPr>
          <w:rFonts w:ascii="仿宋" w:hAnsi="仿宋" w:cs="仿宋_GB2312"/>
          <w:bCs/>
          <w:lang w:eastAsia="zh-Hans"/>
        </w:rPr>
      </w:pPr>
      <w:r>
        <w:rPr>
          <w:rFonts w:hint="eastAsia" w:ascii="仿宋" w:hAnsi="仿宋" w:cs="仿宋_GB2312"/>
          <w:b/>
        </w:rPr>
        <mc:AlternateContent>
          <mc:Choice Requires="wps">
            <w:drawing>
              <wp:anchor distT="0" distB="0" distL="114300" distR="114300" simplePos="0" relativeHeight="251661312" behindDoc="0" locked="0" layoutInCell="1" allowOverlap="1">
                <wp:simplePos x="0" y="0"/>
                <wp:positionH relativeFrom="column">
                  <wp:posOffset>1306195</wp:posOffset>
                </wp:positionH>
                <wp:positionV relativeFrom="paragraph">
                  <wp:posOffset>349250</wp:posOffset>
                </wp:positionV>
                <wp:extent cx="4007485" cy="0"/>
                <wp:effectExtent l="0" t="0" r="0" b="0"/>
                <wp:wrapNone/>
                <wp:docPr id="4" name="Line 30"/>
                <wp:cNvGraphicFramePr/>
                <a:graphic xmlns:a="http://schemas.openxmlformats.org/drawingml/2006/main">
                  <a:graphicData uri="http://schemas.microsoft.com/office/word/2010/wordprocessingShape">
                    <wps:wsp>
                      <wps:cNvCnPr/>
                      <wps:spPr bwMode="auto">
                        <a:xfrm>
                          <a:off x="0" y="0"/>
                          <a:ext cx="4007485" cy="0"/>
                        </a:xfrm>
                        <a:prstGeom prst="line">
                          <a:avLst/>
                        </a:prstGeom>
                        <a:noFill/>
                        <a:ln w="6350">
                          <a:solidFill>
                            <a:srgbClr val="000000"/>
                          </a:solidFill>
                          <a:miter lim="800000"/>
                        </a:ln>
                      </wps:spPr>
                      <wps:bodyPr/>
                    </wps:wsp>
                  </a:graphicData>
                </a:graphic>
              </wp:anchor>
            </w:drawing>
          </mc:Choice>
          <mc:Fallback>
            <w:pict>
              <v:line id="Line 30" o:spid="_x0000_s1026" o:spt="20" style="position:absolute;left:0pt;margin-left:102.85pt;margin-top:27.5pt;height:0pt;width:315.55pt;z-index:251661312;mso-width-relative:page;mso-height-relative:page;" filled="f" stroked="t" coordsize="21600,21600" o:gfxdata="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WAAAAZHJzL1BLAQIUABQAAAAIAIdO4kC3bCoe1gAA&#10;AAkBAAAPAAAAAAAAAAEAIAAAADgAAABkcnMvZG93bnJldi54bWxQSwECFAAUAAAACACHTuJACB95&#10;nJgBAAAtAwAADgAAAAAAAAABACAAAAA7AQAAZHJzL2Uyb0RvYy54bWxQSwUGAAAAAAYABgBZAQAA&#10;RQUAAAAA&#10;">
                <v:fill on="f" focussize="0,0"/>
                <v:stroke weight="0.5pt" color="#000000" miterlimit="8" joinstyle="miter"/>
                <v:imagedata o:title=""/>
                <o:lock v:ext="edit" aspectratio="f"/>
              </v:line>
            </w:pict>
          </mc:Fallback>
        </mc:AlternateContent>
      </w:r>
      <w:r>
        <w:rPr>
          <w:rFonts w:hint="eastAsia" w:ascii="仿宋" w:hAnsi="仿宋" w:cs="仿宋_GB2312"/>
          <w:b/>
        </w:rPr>
        <w:t xml:space="preserve">项目名称 </w:t>
      </w:r>
      <w:r>
        <w:rPr>
          <w:rFonts w:ascii="仿宋" w:hAnsi="仿宋" w:cs="仿宋_GB2312"/>
          <w:b/>
        </w:rPr>
        <w:t xml:space="preserve">      </w:t>
      </w:r>
      <w:r>
        <w:rPr>
          <w:rFonts w:hint="eastAsia" w:ascii="仿宋" w:hAnsi="仿宋" w:cs="仿宋_GB2312"/>
          <w:bCs/>
          <w:lang w:eastAsia="zh-Hans"/>
        </w:rPr>
        <w:t>社会办养老机构床位运营补贴</w:t>
      </w:r>
    </w:p>
    <w:p>
      <w:pPr>
        <w:ind w:firstLine="643"/>
        <w:rPr>
          <w:rFonts w:ascii="仿宋" w:hAnsi="仿宋" w:cs="仿宋_GB2312"/>
        </w:rPr>
      </w:pPr>
      <w:r>
        <w:rPr>
          <w:rFonts w:hint="eastAsia" w:ascii="仿宋" w:hAnsi="仿宋" w:cs="仿宋_GB2312"/>
          <w:b/>
        </w:rPr>
        <mc:AlternateContent>
          <mc:Choice Requires="wps">
            <w:drawing>
              <wp:anchor distT="0" distB="0" distL="114300" distR="114300" simplePos="0" relativeHeight="251660288" behindDoc="0" locked="0" layoutInCell="1" allowOverlap="1">
                <wp:simplePos x="0" y="0"/>
                <wp:positionH relativeFrom="column">
                  <wp:posOffset>1322070</wp:posOffset>
                </wp:positionH>
                <wp:positionV relativeFrom="paragraph">
                  <wp:posOffset>342265</wp:posOffset>
                </wp:positionV>
                <wp:extent cx="3990975" cy="0"/>
                <wp:effectExtent l="0" t="0" r="0" b="0"/>
                <wp:wrapNone/>
                <wp:docPr id="2" name="Line 29"/>
                <wp:cNvGraphicFramePr/>
                <a:graphic xmlns:a="http://schemas.openxmlformats.org/drawingml/2006/main">
                  <a:graphicData uri="http://schemas.microsoft.com/office/word/2010/wordprocessingShape">
                    <wps:wsp>
                      <wps:cNvCnPr/>
                      <wps:spPr bwMode="auto">
                        <a:xfrm>
                          <a:off x="0" y="0"/>
                          <a:ext cx="3990975" cy="0"/>
                        </a:xfrm>
                        <a:prstGeom prst="line">
                          <a:avLst/>
                        </a:prstGeom>
                        <a:noFill/>
                        <a:ln w="6350">
                          <a:solidFill>
                            <a:srgbClr val="000000"/>
                          </a:solidFill>
                          <a:miter lim="800000"/>
                        </a:ln>
                      </wps:spPr>
                      <wps:bodyPr/>
                    </wps:wsp>
                  </a:graphicData>
                </a:graphic>
              </wp:anchor>
            </w:drawing>
          </mc:Choice>
          <mc:Fallback>
            <w:pict>
              <v:line id="Line 29" o:spid="_x0000_s1026" o:spt="20" style="position:absolute;left:0pt;margin-left:104.1pt;margin-top:26.95pt;height:0pt;width:314.25pt;z-index:251660288;mso-width-relative:page;mso-height-relative:page;" filled="f" stroked="t" coordsize="21600,21600" o:gfxdata="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BYAAABkcnMvUEsBAhQAFAAAAAgAh07iQDrsPNvX&#10;AAAACQEAAA8AAAAAAAAAAQAgAAAAOAAAAGRycy9kb3ducmV2LnhtbFBLAQIUABQAAAAIAIdO4kBy&#10;o6Y1mQEAAC0DAAAOAAAAAAAAAAEAIAAAADwBAABkcnMvZTJvRG9jLnhtbFBLBQYAAAAABgAGAFkB&#10;AABHBQAAAAA=&#10;">
                <v:fill on="f" focussize="0,0"/>
                <v:stroke weight="0.5pt" color="#000000" miterlimit="8" joinstyle="miter"/>
                <v:imagedata o:title=""/>
                <o:lock v:ext="edit" aspectratio="f"/>
              </v:line>
            </w:pict>
          </mc:Fallback>
        </mc:AlternateContent>
      </w:r>
      <w:r>
        <w:rPr>
          <w:rFonts w:hint="eastAsia" w:ascii="仿宋" w:hAnsi="仿宋" w:cs="仿宋_GB2312"/>
          <w:b/>
        </w:rPr>
        <w:t>评价机构</w:t>
      </w:r>
      <w:r>
        <w:rPr>
          <w:rFonts w:hint="eastAsia" w:ascii="仿宋" w:hAnsi="仿宋" w:cs="仿宋_GB2312"/>
        </w:rPr>
        <w:t xml:space="preserve">  </w:t>
      </w:r>
      <w:r>
        <w:rPr>
          <w:rFonts w:ascii="仿宋" w:hAnsi="仿宋" w:cs="仿宋_GB2312"/>
        </w:rPr>
        <w:t xml:space="preserve">   </w:t>
      </w:r>
      <w:r>
        <w:rPr>
          <w:rFonts w:hint="eastAsia" w:ascii="仿宋" w:hAnsi="仿宋" w:cs="仿宋_GB2312"/>
        </w:rPr>
        <w:t xml:space="preserve">中景瑞晟（北京）管理咨询有限公司          </w:t>
      </w:r>
    </w:p>
    <w:p>
      <w:pPr>
        <w:ind w:firstLine="1500" w:firstLineChars="500"/>
        <w:rPr>
          <w:rFonts w:ascii="仿宋_GB2312" w:hAnsi="仿宋_GB2312" w:eastAsia="仿宋_GB2312" w:cs="仿宋_GB2312"/>
          <w:sz w:val="30"/>
          <w:u w:val="single"/>
        </w:rPr>
      </w:pPr>
    </w:p>
    <w:p>
      <w:pPr>
        <w:ind w:firstLine="0" w:firstLineChars="0"/>
        <w:rPr>
          <w:rFonts w:ascii="仿宋_GB2312" w:hAnsi="仿宋_GB2312" w:eastAsia="仿宋_GB2312" w:cs="仿宋_GB2312"/>
          <w:sz w:val="30"/>
        </w:rPr>
      </w:pPr>
    </w:p>
    <w:p>
      <w:pPr>
        <w:ind w:firstLine="0" w:firstLineChars="0"/>
        <w:rPr>
          <w:rFonts w:ascii="仿宋_GB2312" w:hAnsi="仿宋_GB2312" w:eastAsia="仿宋_GB2312" w:cs="仿宋_GB2312"/>
          <w:sz w:val="30"/>
        </w:rPr>
      </w:pPr>
    </w:p>
    <w:p>
      <w:pPr>
        <w:ind w:firstLine="643"/>
        <w:jc w:val="center"/>
        <w:rPr>
          <w:rFonts w:ascii="仿宋" w:hAnsi="仿宋" w:cs="仿宋_GB2312"/>
          <w:b/>
          <w:bCs/>
          <w:sz w:val="36"/>
          <w:szCs w:val="36"/>
        </w:rPr>
        <w:sectPr>
          <w:headerReference r:id="rId5" w:type="default"/>
          <w:footerReference r:id="rId6" w:type="default"/>
          <w:pgSz w:w="11906" w:h="16838"/>
          <w:pgMar w:top="2098" w:right="1474" w:bottom="1985" w:left="1588" w:header="851" w:footer="992" w:gutter="0"/>
          <w:pgNumType w:fmt="decimal"/>
          <w:cols w:space="425" w:num="1"/>
          <w:docGrid w:type="linesAndChars" w:linePitch="312" w:charSpace="0"/>
        </w:sectPr>
      </w:pPr>
      <w:r>
        <w:rPr>
          <w:rFonts w:hint="eastAsia" w:ascii="仿宋" w:hAnsi="仿宋" w:cs="仿宋_GB2312"/>
          <w:b/>
          <w:szCs w:val="32"/>
        </w:rPr>
        <w:t>二〇二</w:t>
      </w:r>
      <w:r>
        <w:rPr>
          <w:rFonts w:hint="eastAsia" w:ascii="仿宋" w:hAnsi="仿宋" w:cs="仿宋_GB2312"/>
          <w:b/>
          <w:szCs w:val="32"/>
          <w:lang w:eastAsia="zh-Hans"/>
        </w:rPr>
        <w:t>三</w:t>
      </w:r>
      <w:r>
        <w:rPr>
          <w:rFonts w:hint="eastAsia" w:ascii="仿宋" w:hAnsi="仿宋" w:cs="仿宋_GB2312"/>
          <w:b/>
          <w:szCs w:val="32"/>
        </w:rPr>
        <w:t>年五月</w:t>
      </w:r>
    </w:p>
    <w:p>
      <w:pPr>
        <w:ind w:firstLine="0" w:firstLineChars="0"/>
        <w:jc w:val="center"/>
        <w:rPr>
          <w:rFonts w:ascii="方正小标宋简体" w:hAnsi="方正小标宋简体" w:eastAsia="方正小标宋简体" w:cstheme="majorEastAsia"/>
          <w:sz w:val="36"/>
          <w:szCs w:val="36"/>
        </w:rPr>
      </w:pPr>
      <w:r>
        <w:rPr>
          <w:rFonts w:hint="eastAsia" w:ascii="方正小标宋简体" w:hAnsi="方正小标宋简体" w:eastAsia="方正小标宋简体" w:cstheme="majorEastAsia"/>
          <w:sz w:val="36"/>
          <w:szCs w:val="36"/>
        </w:rPr>
        <w:t>北京市民政局</w:t>
      </w:r>
    </w:p>
    <w:p>
      <w:pPr>
        <w:ind w:firstLine="0" w:firstLineChars="0"/>
        <w:jc w:val="center"/>
        <w:rPr>
          <w:rFonts w:ascii="方正小标宋简体" w:hAnsi="方正小标宋简体" w:eastAsia="方正小标宋简体" w:cstheme="majorEastAsia"/>
          <w:sz w:val="36"/>
          <w:szCs w:val="36"/>
        </w:rPr>
      </w:pPr>
      <w:r>
        <w:rPr>
          <w:rFonts w:hint="eastAsia" w:ascii="方正小标宋简体" w:hAnsi="方正小标宋简体" w:eastAsia="方正小标宋简体" w:cstheme="majorEastAsia"/>
          <w:sz w:val="36"/>
          <w:szCs w:val="36"/>
        </w:rPr>
        <w:t>社会办养老机构床位运营补贴</w:t>
      </w:r>
    </w:p>
    <w:p>
      <w:pPr>
        <w:ind w:firstLine="0" w:firstLineChars="0"/>
        <w:jc w:val="center"/>
        <w:rPr>
          <w:rFonts w:ascii="方正小标宋简体" w:hAnsi="方正小标宋简体" w:eastAsia="方正小标宋简体" w:cstheme="majorEastAsia"/>
          <w:sz w:val="36"/>
          <w:szCs w:val="36"/>
        </w:rPr>
      </w:pPr>
      <w:r>
        <w:rPr>
          <w:rFonts w:hint="eastAsia" w:ascii="方正小标宋简体" w:hAnsi="方正小标宋简体" w:eastAsia="方正小标宋简体" w:cstheme="majorEastAsia"/>
          <w:sz w:val="36"/>
          <w:szCs w:val="36"/>
        </w:rPr>
        <w:t>项目绩效评价结论</w:t>
      </w:r>
    </w:p>
    <w:p>
      <w:pPr>
        <w:ind w:firstLine="723"/>
        <w:rPr>
          <w:rFonts w:ascii="宋体" w:hAnsi="宋体" w:eastAsia="宋体" w:cs="仿宋_GB2312"/>
          <w:b/>
          <w:bCs/>
          <w:sz w:val="36"/>
          <w:szCs w:val="36"/>
        </w:rPr>
      </w:pPr>
    </w:p>
    <w:p>
      <w:pPr>
        <w:ind w:firstLine="640"/>
        <w:rPr>
          <w:rFonts w:hint="eastAsia" w:ascii="仿宋_GB2312" w:hAnsi="仿宋_GB2312" w:eastAsia="仿宋_GB2312" w:cs="仿宋_GB2312"/>
          <w:bCs/>
          <w:lang w:val="en-US" w:eastAsia="zh-Hans"/>
        </w:rPr>
      </w:pPr>
      <w:r>
        <w:rPr>
          <w:rFonts w:hint="eastAsia" w:ascii="仿宋_GB2312" w:hAnsi="仿宋_GB2312" w:eastAsia="仿宋_GB2312" w:cs="仿宋_GB2312"/>
          <w:bCs/>
        </w:rPr>
        <w:t>北京市民政局2022年“</w:t>
      </w:r>
      <w:r>
        <w:rPr>
          <w:rFonts w:hint="eastAsia" w:ascii="仿宋_GB2312" w:hAnsi="仿宋_GB2312" w:eastAsia="仿宋_GB2312" w:cs="仿宋_GB2312"/>
          <w:bCs/>
          <w:lang w:eastAsia="zh-Hans"/>
        </w:rPr>
        <w:t>社会办养老机构床位运营补贴</w:t>
      </w:r>
      <w:r>
        <w:rPr>
          <w:rFonts w:hint="eastAsia" w:ascii="仿宋_GB2312" w:hAnsi="仿宋_GB2312" w:eastAsia="仿宋_GB2312" w:cs="仿宋_GB2312"/>
          <w:bCs/>
        </w:rPr>
        <w:t>”项目绩效评价</w:t>
      </w:r>
      <w:r>
        <w:rPr>
          <w:rFonts w:hint="eastAsia" w:ascii="仿宋_GB2312" w:hAnsi="仿宋_GB2312" w:eastAsia="仿宋_GB2312" w:cs="仿宋_GB2312"/>
        </w:rPr>
        <w:t>得分83.66分，其中项目决策9.96分，项目过程14.70分，项目产出27.00分，项目效益32.00分，绩效评定级别为“</w:t>
      </w:r>
      <w:r>
        <w:rPr>
          <w:rFonts w:hint="eastAsia" w:ascii="仿宋_GB2312" w:hAnsi="仿宋_GB2312" w:eastAsia="仿宋_GB2312" w:cs="仿宋_GB2312"/>
          <w:lang w:eastAsia="zh-Hans"/>
        </w:rPr>
        <w:t>良</w:t>
      </w:r>
      <w:r>
        <w:rPr>
          <w:rFonts w:hint="eastAsia" w:ascii="仿宋_GB2312" w:hAnsi="仿宋_GB2312" w:eastAsia="仿宋_GB2312" w:cs="仿宋_GB2312"/>
        </w:rPr>
        <w:t>”。具体评分情况见附件专家评分汇总表。</w:t>
      </w:r>
    </w:p>
    <w:p>
      <w:pPr>
        <w:pStyle w:val="10"/>
        <w:snapToGrid w:val="0"/>
        <w:spacing w:before="217" w:beforeLines="50" w:after="217" w:afterLines="50" w:line="560" w:lineRule="exact"/>
        <w:ind w:left="0" w:leftChars="0" w:firstLine="0" w:firstLineChars="0"/>
        <w:jc w:val="center"/>
        <w:rPr>
          <w:rFonts w:ascii="黑体" w:hAnsi="黑体" w:eastAsia="黑体" w:cs="仿宋_GB2312"/>
          <w:sz w:val="28"/>
          <w:szCs w:val="28"/>
        </w:rPr>
      </w:pPr>
      <w:r>
        <w:rPr>
          <w:rFonts w:hint="eastAsia" w:ascii="黑体" w:hAnsi="黑体" w:eastAsia="黑体" w:cs="仿宋_GB2312"/>
          <w:sz w:val="28"/>
          <w:szCs w:val="28"/>
        </w:rPr>
        <w:t>社会办养老机构床位运营补贴项目绩效评价结论一览表</w:t>
      </w:r>
    </w:p>
    <w:tbl>
      <w:tblPr>
        <w:tblStyle w:val="20"/>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0"/>
        <w:gridCol w:w="3240"/>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shd w:val="clear" w:color="auto" w:fill="BEBEBE" w:themeFill="background1" w:themeFillShade="BF"/>
            <w:vAlign w:val="center"/>
          </w:tcPr>
          <w:p>
            <w:pPr>
              <w:spacing w:line="240" w:lineRule="auto"/>
              <w:ind w:firstLine="0" w:firstLineChars="0"/>
              <w:jc w:val="center"/>
              <w:rPr>
                <w:rFonts w:eastAsia="宋体" w:cs="Times New Roman"/>
                <w:b/>
                <w:sz w:val="24"/>
              </w:rPr>
            </w:pPr>
            <w:r>
              <w:rPr>
                <w:rFonts w:eastAsia="宋体" w:cs="Times New Roman"/>
                <w:b/>
                <w:sz w:val="24"/>
              </w:rPr>
              <w:t>评价内容</w:t>
            </w:r>
          </w:p>
        </w:tc>
        <w:tc>
          <w:tcPr>
            <w:tcW w:w="3240" w:type="dxa"/>
            <w:shd w:val="clear" w:color="auto" w:fill="BEBEBE" w:themeFill="background1" w:themeFillShade="BF"/>
            <w:vAlign w:val="center"/>
          </w:tcPr>
          <w:p>
            <w:pPr>
              <w:spacing w:line="240" w:lineRule="auto"/>
              <w:ind w:firstLine="0" w:firstLineChars="0"/>
              <w:jc w:val="center"/>
              <w:rPr>
                <w:rFonts w:eastAsia="宋体" w:cs="Times New Roman"/>
                <w:b/>
                <w:sz w:val="24"/>
              </w:rPr>
            </w:pPr>
            <w:r>
              <w:rPr>
                <w:rFonts w:eastAsia="宋体" w:cs="Times New Roman"/>
                <w:b/>
                <w:sz w:val="24"/>
              </w:rPr>
              <w:t>分值</w:t>
            </w:r>
          </w:p>
        </w:tc>
        <w:tc>
          <w:tcPr>
            <w:tcW w:w="2995" w:type="dxa"/>
            <w:shd w:val="clear" w:color="auto" w:fill="BEBEBE" w:themeFill="background1" w:themeFillShade="BF"/>
            <w:vAlign w:val="center"/>
          </w:tcPr>
          <w:p>
            <w:pPr>
              <w:spacing w:line="240" w:lineRule="auto"/>
              <w:ind w:firstLine="0" w:firstLineChars="0"/>
              <w:jc w:val="center"/>
              <w:rPr>
                <w:rFonts w:eastAsia="宋体" w:cs="Times New Roman"/>
                <w:b/>
                <w:sz w:val="24"/>
              </w:rPr>
            </w:pPr>
            <w:r>
              <w:rPr>
                <w:rFonts w:eastAsia="宋体" w:cs="Times New Roman"/>
                <w:b/>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pStyle w:val="6"/>
              <w:spacing w:line="240" w:lineRule="auto"/>
              <w:ind w:firstLine="0" w:firstLineChars="0"/>
              <w:jc w:val="center"/>
              <w:rPr>
                <w:rFonts w:eastAsia="宋体" w:cs="Times New Roman"/>
                <w:b/>
                <w:sz w:val="24"/>
                <w:szCs w:val="24"/>
              </w:rPr>
            </w:pPr>
            <w:r>
              <w:rPr>
                <w:rFonts w:eastAsia="宋体" w:cs="Times New Roman"/>
                <w:b/>
                <w:sz w:val="24"/>
                <w:szCs w:val="24"/>
              </w:rPr>
              <w:t>项目决策</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12.00</w:t>
            </w:r>
          </w:p>
        </w:tc>
        <w:tc>
          <w:tcPr>
            <w:tcW w:w="2995" w:type="dxa"/>
            <w:shd w:val="clear" w:color="auto" w:fill="auto"/>
            <w:vAlign w:val="center"/>
          </w:tcPr>
          <w:p>
            <w:pPr>
              <w:spacing w:line="240" w:lineRule="auto"/>
              <w:ind w:firstLine="0" w:firstLineChars="0"/>
              <w:jc w:val="center"/>
              <w:rPr>
                <w:rFonts w:eastAsia="宋体" w:cs="Times New Roman"/>
                <w:bCs/>
                <w:sz w:val="24"/>
                <w:highlight w:val="yellow"/>
              </w:rPr>
            </w:pPr>
            <w:r>
              <w:rPr>
                <w:rFonts w:eastAsia="宋体" w:cs="Times New Roman"/>
                <w:bCs/>
                <w:sz w:val="24"/>
              </w:rPr>
              <w:t>9.</w:t>
            </w:r>
            <w:r>
              <w:rPr>
                <w:rFonts w:hint="default" w:eastAsia="宋体" w:cs="Times New Roman"/>
                <w:bCs/>
                <w:sz w:val="24"/>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项目过程</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18.00</w:t>
            </w:r>
          </w:p>
        </w:tc>
        <w:tc>
          <w:tcPr>
            <w:tcW w:w="2995" w:type="dxa"/>
            <w:shd w:val="clear" w:color="auto" w:fill="auto"/>
            <w:vAlign w:val="center"/>
          </w:tcPr>
          <w:p>
            <w:pPr>
              <w:spacing w:line="240" w:lineRule="auto"/>
              <w:ind w:firstLine="0" w:firstLineChars="0"/>
              <w:jc w:val="center"/>
              <w:rPr>
                <w:rFonts w:eastAsia="宋体" w:cs="Times New Roman"/>
                <w:bCs/>
                <w:sz w:val="24"/>
                <w:highlight w:val="yellow"/>
              </w:rPr>
            </w:pPr>
            <w:r>
              <w:rPr>
                <w:rFonts w:eastAsia="宋体" w:cs="Times New Roman"/>
                <w:bCs/>
                <w:sz w:val="24"/>
              </w:rPr>
              <w:t>1</w:t>
            </w:r>
            <w:r>
              <w:rPr>
                <w:rFonts w:hint="default" w:eastAsia="宋体" w:cs="Times New Roman"/>
                <w:bCs/>
                <w:sz w:val="24"/>
              </w:rPr>
              <w:t>4</w:t>
            </w:r>
            <w:r>
              <w:rPr>
                <w:rFonts w:eastAsia="宋体" w:cs="Times New Roman"/>
                <w:bCs/>
                <w:sz w:val="24"/>
              </w:rPr>
              <w:t>.</w:t>
            </w:r>
            <w:r>
              <w:rPr>
                <w:rFonts w:hint="default" w:eastAsia="宋体" w:cs="Times New Roman"/>
                <w:bCs/>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项目产出</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30.00</w:t>
            </w:r>
          </w:p>
        </w:tc>
        <w:tc>
          <w:tcPr>
            <w:tcW w:w="2995" w:type="dxa"/>
            <w:shd w:val="clear" w:color="auto" w:fill="auto"/>
            <w:vAlign w:val="center"/>
          </w:tcPr>
          <w:p>
            <w:pPr>
              <w:spacing w:line="240" w:lineRule="auto"/>
              <w:ind w:firstLine="0" w:firstLineChars="0"/>
              <w:jc w:val="center"/>
              <w:rPr>
                <w:rFonts w:eastAsia="宋体" w:cs="Times New Roman"/>
                <w:bCs/>
                <w:sz w:val="24"/>
                <w:highlight w:val="yellow"/>
              </w:rPr>
            </w:pPr>
            <w:r>
              <w:rPr>
                <w:rFonts w:eastAsia="宋体" w:cs="Times New Roman"/>
                <w:bCs/>
                <w:sz w:val="24"/>
              </w:rPr>
              <w:t>27.</w:t>
            </w:r>
            <w:r>
              <w:rPr>
                <w:rFonts w:hint="default" w:eastAsia="宋体" w:cs="Times New Roman"/>
                <w:bCs/>
                <w:sz w:val="24"/>
              </w:rPr>
              <w:t>0</w:t>
            </w:r>
            <w:r>
              <w:rPr>
                <w:rFonts w:eastAsia="宋体" w:cs="Times New Roman"/>
                <w:bCs/>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项目效益</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40.00</w:t>
            </w:r>
          </w:p>
        </w:tc>
        <w:tc>
          <w:tcPr>
            <w:tcW w:w="2995" w:type="dxa"/>
            <w:shd w:val="clear" w:color="auto" w:fill="auto"/>
            <w:vAlign w:val="center"/>
          </w:tcPr>
          <w:p>
            <w:pPr>
              <w:spacing w:line="240" w:lineRule="auto"/>
              <w:ind w:firstLine="0" w:firstLineChars="0"/>
              <w:jc w:val="center"/>
              <w:rPr>
                <w:rFonts w:eastAsia="宋体" w:cs="Times New Roman"/>
                <w:bCs/>
                <w:sz w:val="24"/>
                <w:highlight w:val="yellow"/>
              </w:rPr>
            </w:pPr>
            <w:r>
              <w:rPr>
                <w:rFonts w:eastAsia="宋体" w:cs="Times New Roman"/>
                <w:bCs/>
                <w:sz w:val="24"/>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综合得分</w:t>
            </w:r>
          </w:p>
        </w:tc>
        <w:tc>
          <w:tcPr>
            <w:tcW w:w="3240" w:type="dxa"/>
            <w:vAlign w:val="center"/>
          </w:tcPr>
          <w:p>
            <w:pPr>
              <w:spacing w:line="240" w:lineRule="auto"/>
              <w:ind w:firstLine="0" w:firstLineChars="0"/>
              <w:jc w:val="center"/>
              <w:rPr>
                <w:rFonts w:eastAsia="宋体" w:cs="Times New Roman"/>
                <w:b/>
                <w:sz w:val="24"/>
              </w:rPr>
            </w:pPr>
            <w:r>
              <w:rPr>
                <w:rFonts w:eastAsia="宋体" w:cs="Times New Roman"/>
                <w:b/>
                <w:sz w:val="24"/>
              </w:rPr>
              <w:t>100.00</w:t>
            </w:r>
          </w:p>
        </w:tc>
        <w:tc>
          <w:tcPr>
            <w:tcW w:w="2995" w:type="dxa"/>
            <w:shd w:val="clear" w:color="auto" w:fill="auto"/>
            <w:vAlign w:val="center"/>
          </w:tcPr>
          <w:p>
            <w:pPr>
              <w:spacing w:line="240" w:lineRule="auto"/>
              <w:ind w:firstLine="0" w:firstLineChars="0"/>
              <w:jc w:val="center"/>
              <w:rPr>
                <w:rFonts w:eastAsia="宋体" w:cs="Times New Roman"/>
                <w:b/>
                <w:sz w:val="24"/>
                <w:highlight w:val="yellow"/>
              </w:rPr>
            </w:pPr>
            <w:r>
              <w:rPr>
                <w:rFonts w:eastAsia="宋体" w:cs="Times New Roman"/>
                <w:b/>
                <w:sz w:val="24"/>
              </w:rPr>
              <w:t>83.66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绩效评定级别</w:t>
            </w:r>
          </w:p>
        </w:tc>
        <w:tc>
          <w:tcPr>
            <w:tcW w:w="6235" w:type="dxa"/>
            <w:gridSpan w:val="2"/>
            <w:vAlign w:val="center"/>
          </w:tcPr>
          <w:p>
            <w:pPr>
              <w:spacing w:line="240" w:lineRule="auto"/>
              <w:ind w:firstLine="0" w:firstLineChars="0"/>
              <w:jc w:val="center"/>
              <w:rPr>
                <w:rFonts w:eastAsia="宋体" w:cs="Times New Roman"/>
                <w:b/>
                <w:sz w:val="24"/>
                <w:lang w:eastAsia="zh-Hans"/>
              </w:rPr>
            </w:pPr>
            <w:r>
              <w:rPr>
                <w:rFonts w:eastAsia="宋体" w:cs="Times New Roman"/>
                <w:b/>
                <w:sz w:val="24"/>
                <w:lang w:eastAsia="zh-Hans"/>
              </w:rPr>
              <w:t>良</w:t>
            </w:r>
          </w:p>
        </w:tc>
      </w:tr>
    </w:tbl>
    <w:p>
      <w:pPr>
        <w:pStyle w:val="14"/>
        <w:tabs>
          <w:tab w:val="right" w:leader="dot" w:pos="8306"/>
        </w:tabs>
        <w:ind w:firstLine="0" w:firstLineChars="0"/>
        <w:jc w:val="center"/>
        <w:rPr>
          <w:rFonts w:ascii="仿宋_GB2312" w:hAnsi="仿宋_GB2312" w:eastAsia="仿宋_GB2312" w:cs="宋体"/>
          <w:b/>
          <w:bCs/>
          <w:sz w:val="44"/>
          <w:szCs w:val="44"/>
        </w:rPr>
      </w:pPr>
    </w:p>
    <w:p>
      <w:pPr>
        <w:widowControl/>
        <w:ind w:firstLine="0" w:firstLineChars="0"/>
        <w:rPr>
          <w:rFonts w:cs="宋体" w:asciiTheme="majorEastAsia" w:hAnsiTheme="majorEastAsia" w:eastAsiaTheme="majorEastAsia"/>
          <w:b/>
          <w:bCs/>
          <w:sz w:val="44"/>
          <w:szCs w:val="44"/>
        </w:rPr>
        <w:sectPr>
          <w:footerReference r:id="rId7" w:type="default"/>
          <w:pgSz w:w="11906" w:h="16838"/>
          <w:pgMar w:top="2098" w:right="1474" w:bottom="1985" w:left="1588" w:header="851" w:footer="992" w:gutter="0"/>
          <w:pgNumType w:fmt="decimal" w:start="1"/>
          <w:cols w:space="425" w:num="1"/>
          <w:docGrid w:type="linesAndChars" w:linePitch="435" w:charSpace="0"/>
        </w:sectPr>
      </w:pPr>
      <w:r>
        <w:rPr>
          <w:rFonts w:cs="宋体" w:asciiTheme="majorEastAsia" w:hAnsiTheme="majorEastAsia" w:eastAsiaTheme="majorEastAsia"/>
          <w:b/>
          <w:bCs/>
          <w:sz w:val="44"/>
          <w:szCs w:val="44"/>
        </w:rPr>
        <w:br w:type="page"/>
      </w:r>
    </w:p>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目</w:t>
      </w:r>
      <w:r>
        <w:rPr>
          <w:rFonts w:ascii="方正小标宋简体" w:hAnsi="方正小标宋简体" w:eastAsia="方正小标宋简体" w:cs="方正小标宋简体"/>
          <w:sz w:val="36"/>
          <w:szCs w:val="36"/>
          <w:highlight w:val="none"/>
        </w:rPr>
        <w:t xml:space="preserve"> </w:t>
      </w:r>
      <w:r>
        <w:rPr>
          <w:rFonts w:hint="eastAsia" w:ascii="方正小标宋简体" w:hAnsi="方正小标宋简体" w:eastAsia="方正小标宋简体" w:cs="方正小标宋简体"/>
          <w:sz w:val="36"/>
          <w:szCs w:val="36"/>
          <w:highlight w:val="none"/>
        </w:rPr>
        <w:t>录</w:t>
      </w:r>
    </w:p>
    <w:p>
      <w:pPr>
        <w:pStyle w:val="14"/>
        <w:tabs>
          <w:tab w:val="right" w:leader="dot" w:pos="8844"/>
        </w:tabs>
        <w:spacing w:line="520" w:lineRule="exact"/>
        <w:ind w:firstLine="0" w:firstLineChars="0"/>
        <w:rPr>
          <w:rFonts w:hint="default" w:ascii="Times New Roman Regular" w:hAnsi="Times New Roman Regular" w:cs="Times New Roman Regular"/>
          <w:szCs w:val="28"/>
        </w:rPr>
      </w:pPr>
      <w:r>
        <w:rPr>
          <w:rFonts w:hint="eastAsia" w:ascii="仿宋" w:hAnsi="仿宋" w:eastAsia="仿宋" w:cs="仿宋"/>
          <w:sz w:val="28"/>
          <w:szCs w:val="28"/>
          <w:highlight w:val="yellow"/>
          <w:lang w:val="zh-CN"/>
        </w:rPr>
        <w:fldChar w:fldCharType="begin"/>
      </w:r>
      <w:r>
        <w:rPr>
          <w:rFonts w:hint="eastAsia" w:ascii="仿宋" w:hAnsi="仿宋" w:eastAsia="仿宋" w:cs="仿宋"/>
          <w:sz w:val="28"/>
          <w:szCs w:val="28"/>
          <w:highlight w:val="yellow"/>
          <w:lang w:val="zh-CN"/>
        </w:rPr>
        <w:instrText xml:space="preserve">TOC \o "1-2" \h \u </w:instrText>
      </w:r>
      <w:r>
        <w:rPr>
          <w:rFonts w:hint="eastAsia" w:ascii="仿宋" w:hAnsi="仿宋" w:eastAsia="仿宋" w:cs="仿宋"/>
          <w:sz w:val="28"/>
          <w:szCs w:val="28"/>
          <w:highlight w:val="yellow"/>
          <w:lang w:val="zh-CN"/>
        </w:rPr>
        <w:fldChar w:fldCharType="separate"/>
      </w:r>
      <w:r>
        <w:rPr>
          <w:rFonts w:hint="eastAsia" w:ascii="仿宋_GB2312" w:hAnsi="仿宋_GB2312" w:eastAsia="仿宋_GB2312" w:cs="仿宋_GB2312"/>
          <w:sz w:val="28"/>
          <w:szCs w:val="28"/>
          <w:highlight w:val="yellow"/>
          <w:lang w:val="zh-CN"/>
        </w:rPr>
        <w:fldChar w:fldCharType="begin"/>
      </w:r>
      <w:r>
        <w:rPr>
          <w:rFonts w:hint="eastAsia" w:ascii="仿宋_GB2312" w:hAnsi="仿宋_GB2312" w:eastAsia="仿宋_GB2312" w:cs="仿宋_GB2312"/>
          <w:sz w:val="28"/>
          <w:szCs w:val="28"/>
          <w:highlight w:val="yellow"/>
          <w:lang w:val="zh-CN"/>
        </w:rPr>
        <w:instrText xml:space="preserve"> HYPERLINK \l _Toc1730952070 </w:instrText>
      </w:r>
      <w:r>
        <w:rPr>
          <w:rFonts w:hint="eastAsia" w:ascii="仿宋_GB2312" w:hAnsi="仿宋_GB2312" w:eastAsia="仿宋_GB2312" w:cs="仿宋_GB2312"/>
          <w:sz w:val="28"/>
          <w:szCs w:val="28"/>
          <w:highlight w:val="yellow"/>
          <w:lang w:val="zh-CN"/>
        </w:rPr>
        <w:fldChar w:fldCharType="separate"/>
      </w:r>
      <w:r>
        <w:rPr>
          <w:rFonts w:hint="eastAsia" w:ascii="仿宋_GB2312" w:hAnsi="仿宋_GB2312" w:eastAsia="仿宋_GB2312" w:cs="仿宋_GB2312"/>
          <w:sz w:val="28"/>
          <w:szCs w:val="28"/>
        </w:rPr>
        <w:t>一、基本情况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_Toc1730952070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highlight w:val="yellow"/>
          <w:lang w:val="zh-CN"/>
        </w:rPr>
        <w:fldChar w:fldCharType="end"/>
      </w:r>
    </w:p>
    <w:p>
      <w:pPr>
        <w:pStyle w:val="17"/>
        <w:tabs>
          <w:tab w:val="right" w:leader="dot" w:pos="8844"/>
        </w:tabs>
        <w:spacing w:line="520" w:lineRule="exact"/>
        <w:ind w:firstLine="560"/>
        <w:rPr>
          <w:rFonts w:hint="default" w:ascii="Times New Roman Regular" w:hAnsi="Times New Roman Regular" w:cs="Times New Roman Regular"/>
          <w:szCs w:val="28"/>
        </w:rPr>
      </w:pPr>
      <w:r>
        <w:rPr>
          <w:rFonts w:hint="default" w:ascii="Times New Roman Regular" w:hAnsi="Times New Roman Regular" w:eastAsia="仿宋" w:cs="Times New Roman Regular"/>
          <w:szCs w:val="28"/>
          <w:highlight w:val="yellow"/>
          <w:lang w:val="zh-CN"/>
        </w:rPr>
        <w:fldChar w:fldCharType="begin"/>
      </w:r>
      <w:r>
        <w:rPr>
          <w:rFonts w:hint="default" w:ascii="Times New Roman Regular" w:hAnsi="Times New Roman Regular" w:eastAsia="仿宋" w:cs="Times New Roman Regular"/>
          <w:szCs w:val="28"/>
          <w:highlight w:val="yellow"/>
          <w:lang w:val="zh-CN"/>
        </w:rPr>
        <w:instrText xml:space="preserve"> HYPERLINK \l _Toc150474581 </w:instrText>
      </w:r>
      <w:r>
        <w:rPr>
          <w:rFonts w:hint="default" w:ascii="Times New Roman Regular" w:hAnsi="Times New Roman Regular" w:eastAsia="仿宋" w:cs="Times New Roman Regular"/>
          <w:szCs w:val="28"/>
          <w:highlight w:val="yellow"/>
          <w:lang w:val="zh-CN"/>
        </w:rPr>
        <w:fldChar w:fldCharType="separate"/>
      </w:r>
      <w:r>
        <w:rPr>
          <w:rFonts w:hint="default" w:ascii="Times New Roman Regular" w:hAnsi="Times New Roman Regular" w:cs="Times New Roman Regular"/>
          <w:szCs w:val="28"/>
        </w:rPr>
        <w:t>（一）项目概况</w:t>
      </w:r>
      <w:r>
        <w:rPr>
          <w:rFonts w:hint="default" w:ascii="Times New Roman Regular" w:hAnsi="Times New Roman Regular" w:cs="Times New Roman Regular"/>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_Toc150474581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w:t>
      </w:r>
      <w:r>
        <w:rPr>
          <w:rFonts w:hint="eastAsia" w:ascii="仿宋_GB2312" w:hAnsi="仿宋_GB2312" w:eastAsia="仿宋_GB2312" w:cs="仿宋_GB2312"/>
          <w:szCs w:val="28"/>
        </w:rPr>
        <w:fldChar w:fldCharType="end"/>
      </w:r>
      <w:r>
        <w:rPr>
          <w:rFonts w:hint="default" w:ascii="Times New Roman Regular" w:hAnsi="Times New Roman Regular" w:eastAsia="仿宋" w:cs="Times New Roman Regular"/>
          <w:szCs w:val="28"/>
          <w:highlight w:val="yellow"/>
          <w:lang w:val="zh-CN"/>
        </w:rPr>
        <w:fldChar w:fldCharType="end"/>
      </w:r>
    </w:p>
    <w:p>
      <w:pPr>
        <w:pStyle w:val="17"/>
        <w:tabs>
          <w:tab w:val="right" w:leader="dot" w:pos="8844"/>
        </w:tabs>
        <w:spacing w:line="520" w:lineRule="exact"/>
        <w:ind w:firstLine="560"/>
        <w:rPr>
          <w:rFonts w:hint="default" w:ascii="Times New Roman Regular" w:hAnsi="Times New Roman Regular" w:cs="Times New Roman Regular"/>
          <w:szCs w:val="28"/>
        </w:rPr>
      </w:pPr>
      <w:r>
        <w:rPr>
          <w:rFonts w:hint="default" w:ascii="Times New Roman Regular" w:hAnsi="Times New Roman Regular" w:eastAsia="仿宋" w:cs="Times New Roman Regular"/>
          <w:szCs w:val="28"/>
          <w:highlight w:val="yellow"/>
          <w:lang w:val="zh-CN"/>
        </w:rPr>
        <w:fldChar w:fldCharType="begin"/>
      </w:r>
      <w:r>
        <w:rPr>
          <w:rFonts w:hint="default" w:ascii="Times New Roman Regular" w:hAnsi="Times New Roman Regular" w:eastAsia="仿宋" w:cs="Times New Roman Regular"/>
          <w:szCs w:val="28"/>
          <w:highlight w:val="yellow"/>
          <w:lang w:val="zh-CN"/>
        </w:rPr>
        <w:instrText xml:space="preserve"> HYPERLINK \l _Toc1438030348 </w:instrText>
      </w:r>
      <w:r>
        <w:rPr>
          <w:rFonts w:hint="default" w:ascii="Times New Roman Regular" w:hAnsi="Times New Roman Regular" w:eastAsia="仿宋" w:cs="Times New Roman Regular"/>
          <w:szCs w:val="28"/>
          <w:highlight w:val="yellow"/>
          <w:lang w:val="zh-CN"/>
        </w:rPr>
        <w:fldChar w:fldCharType="separate"/>
      </w:r>
      <w:r>
        <w:rPr>
          <w:rFonts w:hint="default" w:ascii="Times New Roman Regular" w:hAnsi="Times New Roman Regular" w:cs="Times New Roman Regular"/>
          <w:szCs w:val="28"/>
        </w:rPr>
        <w:t>（二）项目绩效目标</w:t>
      </w:r>
      <w:r>
        <w:rPr>
          <w:rFonts w:hint="default" w:ascii="Times New Roman Regular" w:hAnsi="Times New Roman Regular" w:cs="Times New Roman Regular"/>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_Toc1438030348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4</w:t>
      </w:r>
      <w:r>
        <w:rPr>
          <w:rFonts w:hint="eastAsia" w:ascii="仿宋_GB2312" w:hAnsi="仿宋_GB2312" w:eastAsia="仿宋_GB2312" w:cs="仿宋_GB2312"/>
          <w:szCs w:val="28"/>
        </w:rPr>
        <w:fldChar w:fldCharType="end"/>
      </w:r>
      <w:r>
        <w:rPr>
          <w:rFonts w:hint="default" w:ascii="Times New Roman Regular" w:hAnsi="Times New Roman Regular" w:eastAsia="仿宋" w:cs="Times New Roman Regular"/>
          <w:szCs w:val="28"/>
          <w:highlight w:val="yellow"/>
          <w:lang w:val="zh-CN"/>
        </w:rPr>
        <w:fldChar w:fldCharType="end"/>
      </w:r>
    </w:p>
    <w:p>
      <w:pPr>
        <w:pStyle w:val="14"/>
        <w:tabs>
          <w:tab w:val="right" w:leader="dot" w:pos="8844"/>
        </w:tabs>
        <w:spacing w:line="520" w:lineRule="exact"/>
        <w:ind w:firstLine="0" w:firstLineChars="0"/>
        <w:rPr>
          <w:rFonts w:hint="default" w:ascii="Times New Roman Regular" w:hAnsi="Times New Roman Regular" w:cs="Times New Roman Regular"/>
          <w:szCs w:val="28"/>
        </w:rPr>
      </w:pPr>
      <w:r>
        <w:rPr>
          <w:rFonts w:hint="default" w:ascii="Times New Roman Regular" w:hAnsi="Times New Roman Regular" w:eastAsia="仿宋" w:cs="Times New Roman Regular"/>
          <w:szCs w:val="28"/>
          <w:highlight w:val="yellow"/>
          <w:lang w:val="zh-CN"/>
        </w:rPr>
        <w:fldChar w:fldCharType="begin"/>
      </w:r>
      <w:r>
        <w:rPr>
          <w:rFonts w:hint="default" w:ascii="Times New Roman Regular" w:hAnsi="Times New Roman Regular" w:eastAsia="仿宋" w:cs="Times New Roman Regular"/>
          <w:szCs w:val="28"/>
          <w:highlight w:val="yellow"/>
          <w:lang w:val="zh-CN"/>
        </w:rPr>
        <w:instrText xml:space="preserve"> HYPERLINK \l _Toc1195095498 </w:instrText>
      </w:r>
      <w:r>
        <w:rPr>
          <w:rFonts w:hint="default" w:ascii="Times New Roman Regular" w:hAnsi="Times New Roman Regular" w:eastAsia="仿宋" w:cs="Times New Roman Regular"/>
          <w:szCs w:val="28"/>
          <w:highlight w:val="yellow"/>
          <w:lang w:val="zh-CN"/>
        </w:rPr>
        <w:fldChar w:fldCharType="separate"/>
      </w:r>
      <w:r>
        <w:rPr>
          <w:rFonts w:hint="default" w:ascii="Times New Roman Regular" w:hAnsi="Times New Roman Regular" w:eastAsia="仿宋" w:cs="Times New Roman Regular"/>
          <w:bCs w:val="0"/>
          <w:szCs w:val="28"/>
        </w:rPr>
        <w:t>二、绩效评价工作开展情况</w:t>
      </w:r>
      <w:r>
        <w:rPr>
          <w:rFonts w:hint="default" w:ascii="Times New Roman Regular" w:hAnsi="Times New Roman Regular" w:cs="Times New Roman Regular"/>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_Toc1195095498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rPr>
        <w:fldChar w:fldCharType="end"/>
      </w:r>
      <w:r>
        <w:rPr>
          <w:rFonts w:hint="default" w:ascii="Times New Roman Regular" w:hAnsi="Times New Roman Regular" w:eastAsia="仿宋" w:cs="Times New Roman Regular"/>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_Toc555484495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szCs w:val="28"/>
        </w:rPr>
        <w:t>（一）绩效评价目的、对象和范围</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_Toc555484495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_Toc916493956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szCs w:val="28"/>
        </w:rPr>
        <w:t>（二）绩效评价原则方法</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_Toc916493956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6</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_Toc1761202208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szCs w:val="28"/>
        </w:rPr>
        <w:t>（三）绩效评价工作过程</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_Toc1761202208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7</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4"/>
        <w:tabs>
          <w:tab w:val="right" w:leader="dot" w:pos="8844"/>
        </w:tabs>
        <w:spacing w:line="520" w:lineRule="exact"/>
        <w:ind w:firstLine="0" w:firstLineChars="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_Toc1758403255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val="0"/>
          <w:szCs w:val="28"/>
        </w:rPr>
        <w:t>三、综合评价情况及评价结论</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_Toc1758403255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8</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4"/>
        <w:tabs>
          <w:tab w:val="right" w:leader="dot" w:pos="8844"/>
        </w:tabs>
        <w:spacing w:line="520" w:lineRule="exact"/>
        <w:ind w:firstLine="0" w:firstLineChars="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_Toc1961040418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val="0"/>
          <w:szCs w:val="28"/>
        </w:rPr>
        <w:t>四、绩效评价指标分析</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_Toc1961040418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9</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_Toc1774774817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（一）项目决策情况</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_Toc1774774817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9</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_Toc92492489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（二）项目过程情况</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_Toc92492489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11</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_Toc1890585842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szCs w:val="28"/>
        </w:rPr>
        <w:t>（三）项目产出情况</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_Toc1890585842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16</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_Toc908205482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（四）项目效益情况</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_Toc908205482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18</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4"/>
        <w:tabs>
          <w:tab w:val="right" w:leader="dot" w:pos="8844"/>
        </w:tabs>
        <w:spacing w:line="520" w:lineRule="exact"/>
        <w:ind w:firstLine="0" w:firstLineChars="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_Toc2043256745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val="0"/>
          <w:szCs w:val="28"/>
        </w:rPr>
        <w:t>五、主要经验及做法、存在的问题及原因分析</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_Toc2043256745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19</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_Toc605114038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（一）主要经验及做法</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_Toc605114038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19</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_Toc1816568121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（二）存在的问题及原因分析</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_Toc1816568121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19</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4"/>
        <w:tabs>
          <w:tab w:val="right" w:leader="dot" w:pos="8844"/>
        </w:tabs>
        <w:spacing w:line="520" w:lineRule="exact"/>
        <w:ind w:firstLine="0" w:firstLineChars="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_Toc285400248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val="0"/>
          <w:szCs w:val="28"/>
        </w:rPr>
        <w:t>六、有关建议</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_Toc285400248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20</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_Toc1390984385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（一）</w:t>
      </w:r>
      <w:r>
        <w:rPr>
          <w:rFonts w:hint="eastAsia" w:ascii="仿宋_GB2312" w:hAnsi="仿宋_GB2312" w:eastAsia="仿宋_GB2312" w:cs="仿宋_GB2312"/>
          <w:szCs w:val="28"/>
          <w:lang w:eastAsia="zh-Hans"/>
        </w:rPr>
        <w:t>强化项目过程</w:t>
      </w:r>
      <w:r>
        <w:rPr>
          <w:rFonts w:hint="eastAsia" w:ascii="仿宋_GB2312" w:hAnsi="仿宋_GB2312" w:eastAsia="仿宋_GB2312" w:cs="仿宋_GB2312"/>
          <w:szCs w:val="28"/>
        </w:rPr>
        <w:t>管理，</w:t>
      </w:r>
      <w:r>
        <w:rPr>
          <w:rFonts w:hint="eastAsia" w:ascii="仿宋_GB2312" w:hAnsi="仿宋_GB2312" w:eastAsia="仿宋_GB2312" w:cs="仿宋_GB2312"/>
          <w:bCs/>
          <w:szCs w:val="28"/>
          <w:lang w:eastAsia="zh-Hans"/>
        </w:rPr>
        <w:t>完善监管机制</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_Toc1390984385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20</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_Toc767577453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lang w:eastAsia="zh-Hans"/>
        </w:rPr>
        <w:t>（二）加快项目执行进度，规范使用资金</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_Toc767577453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20</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_Toc739985042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rPr>
        <w:t>（三）加强成本控制，</w:t>
      </w:r>
      <w:r>
        <w:rPr>
          <w:rFonts w:hint="eastAsia" w:ascii="仿宋_GB2312" w:hAnsi="仿宋_GB2312" w:eastAsia="仿宋_GB2312" w:cs="仿宋_GB2312"/>
          <w:bCs/>
          <w:szCs w:val="28"/>
          <w:lang w:val="en-US" w:eastAsia="zh-Hans"/>
        </w:rPr>
        <w:t>加强</w:t>
      </w:r>
      <w:r>
        <w:rPr>
          <w:rFonts w:hint="eastAsia" w:ascii="仿宋_GB2312" w:hAnsi="仿宋_GB2312" w:eastAsia="仿宋_GB2312" w:cs="仿宋_GB2312"/>
          <w:bCs/>
          <w:szCs w:val="28"/>
        </w:rPr>
        <w:t>绩效意识</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_Toc739985042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21</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7"/>
        <w:tabs>
          <w:tab w:val="right" w:leader="dot" w:pos="8844"/>
        </w:tabs>
        <w:spacing w:line="520" w:lineRule="exact"/>
        <w:ind w:firstLine="56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_Toc850801117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szCs w:val="28"/>
          <w:lang w:eastAsia="zh-Hans"/>
        </w:rPr>
        <w:t>（四）转变财政资金扶持方式，发挥政府兜底保障作用</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_Toc850801117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21</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4"/>
        <w:tabs>
          <w:tab w:val="right" w:leader="dot" w:pos="8844"/>
        </w:tabs>
        <w:spacing w:line="520" w:lineRule="exact"/>
        <w:ind w:firstLine="0" w:firstLineChars="0"/>
        <w:rPr>
          <w:rFonts w:hint="eastAsia" w:ascii="仿宋_GB2312" w:hAnsi="仿宋_GB2312" w:eastAsia="仿宋_GB2312" w:cs="仿宋_GB2312"/>
          <w:szCs w:val="28"/>
        </w:rPr>
      </w:pPr>
      <w:r>
        <w:rPr>
          <w:rFonts w:hint="eastAsia" w:ascii="仿宋_GB2312" w:hAnsi="仿宋_GB2312" w:eastAsia="仿宋_GB2312" w:cs="仿宋_GB2312"/>
          <w:szCs w:val="28"/>
          <w:highlight w:val="yellow"/>
          <w:lang w:val="zh-CN"/>
        </w:rPr>
        <w:fldChar w:fldCharType="begin"/>
      </w:r>
      <w:r>
        <w:rPr>
          <w:rFonts w:hint="eastAsia" w:ascii="仿宋_GB2312" w:hAnsi="仿宋_GB2312" w:eastAsia="仿宋_GB2312" w:cs="仿宋_GB2312"/>
          <w:szCs w:val="28"/>
          <w:highlight w:val="yellow"/>
          <w:lang w:val="zh-CN"/>
        </w:rPr>
        <w:instrText xml:space="preserve"> HYPERLINK \l _Toc1468251693 </w:instrText>
      </w:r>
      <w:r>
        <w:rPr>
          <w:rFonts w:hint="eastAsia" w:ascii="仿宋_GB2312" w:hAnsi="仿宋_GB2312" w:eastAsia="仿宋_GB2312" w:cs="仿宋_GB2312"/>
          <w:szCs w:val="28"/>
          <w:highlight w:val="yellow"/>
          <w:lang w:val="zh-CN"/>
        </w:rPr>
        <w:fldChar w:fldCharType="separate"/>
      </w:r>
      <w:r>
        <w:rPr>
          <w:rFonts w:hint="eastAsia" w:ascii="仿宋_GB2312" w:hAnsi="仿宋_GB2312" w:eastAsia="仿宋_GB2312" w:cs="仿宋_GB2312"/>
          <w:bCs w:val="0"/>
          <w:szCs w:val="28"/>
        </w:rPr>
        <w:t>七、其他需要说明的问题</w:t>
      </w:r>
      <w:r>
        <w:rPr>
          <w:rFonts w:hint="eastAsia" w:ascii="仿宋_GB2312" w:hAnsi="仿宋_GB2312" w:eastAsia="仿宋_GB2312" w:cs="仿宋_GB2312"/>
          <w:szCs w:val="28"/>
        </w:rPr>
        <w:tab/>
      </w:r>
      <w:r>
        <w:rPr>
          <w:rFonts w:hint="eastAsia" w:ascii="仿宋_GB2312" w:hAnsi="仿宋_GB2312" w:eastAsia="仿宋_GB2312" w:cs="仿宋_GB2312"/>
          <w:szCs w:val="28"/>
        </w:rPr>
        <w:fldChar w:fldCharType="begin"/>
      </w:r>
      <w:r>
        <w:rPr>
          <w:rFonts w:hint="eastAsia" w:ascii="仿宋_GB2312" w:hAnsi="仿宋_GB2312" w:eastAsia="仿宋_GB2312" w:cs="仿宋_GB2312"/>
          <w:szCs w:val="28"/>
        </w:rPr>
        <w:instrText xml:space="preserve"> PAGEREF _Toc1468251693 \h </w:instrText>
      </w:r>
      <w:r>
        <w:rPr>
          <w:rFonts w:hint="eastAsia" w:ascii="仿宋_GB2312" w:hAnsi="仿宋_GB2312" w:eastAsia="仿宋_GB2312" w:cs="仿宋_GB2312"/>
          <w:szCs w:val="28"/>
        </w:rPr>
        <w:fldChar w:fldCharType="separate"/>
      </w:r>
      <w:r>
        <w:rPr>
          <w:rFonts w:hint="eastAsia" w:ascii="仿宋_GB2312" w:hAnsi="仿宋_GB2312" w:eastAsia="仿宋_GB2312" w:cs="仿宋_GB2312"/>
          <w:szCs w:val="28"/>
        </w:rPr>
        <w:t>21</w:t>
      </w:r>
      <w:r>
        <w:rPr>
          <w:rFonts w:hint="eastAsia" w:ascii="仿宋_GB2312" w:hAnsi="仿宋_GB2312" w:eastAsia="仿宋_GB2312" w:cs="仿宋_GB2312"/>
          <w:szCs w:val="28"/>
        </w:rPr>
        <w:fldChar w:fldCharType="end"/>
      </w:r>
      <w:r>
        <w:rPr>
          <w:rFonts w:hint="eastAsia" w:ascii="仿宋_GB2312" w:hAnsi="仿宋_GB2312" w:eastAsia="仿宋_GB2312" w:cs="仿宋_GB2312"/>
          <w:szCs w:val="28"/>
          <w:highlight w:val="yellow"/>
          <w:lang w:val="zh-CN"/>
        </w:rPr>
        <w:fldChar w:fldCharType="end"/>
      </w:r>
    </w:p>
    <w:p>
      <w:pPr>
        <w:pStyle w:val="14"/>
        <w:tabs>
          <w:tab w:val="right" w:leader="dot" w:pos="8844"/>
        </w:tabs>
        <w:spacing w:line="520" w:lineRule="exact"/>
        <w:ind w:firstLine="0" w:firstLineChars="0"/>
        <w:rPr>
          <w:rFonts w:hint="eastAsia" w:ascii="仿宋" w:hAnsi="仿宋" w:cs="仿宋"/>
          <w:szCs w:val="28"/>
        </w:rPr>
      </w:pPr>
    </w:p>
    <w:p>
      <w:pPr>
        <w:keepNext w:val="0"/>
        <w:keepLines w:val="0"/>
        <w:pageBreakBefore w:val="0"/>
        <w:widowControl w:val="0"/>
        <w:tabs>
          <w:tab w:val="right" w:leader="dot" w:pos="0"/>
          <w:tab w:val="right" w:leader="dot" w:pos="8844"/>
        </w:tabs>
        <w:kinsoku/>
        <w:wordWrap/>
        <w:overflowPunct/>
        <w:topLinePunct w:val="0"/>
        <w:autoSpaceDE/>
        <w:autoSpaceDN/>
        <w:bidi w:val="0"/>
        <w:adjustRightInd/>
        <w:snapToGrid/>
        <w:spacing w:line="520" w:lineRule="exact"/>
        <w:ind w:firstLine="560" w:firstLineChars="200"/>
        <w:jc w:val="center"/>
        <w:textAlignment w:val="auto"/>
        <w:rPr>
          <w:rFonts w:hint="eastAsia" w:ascii="仿宋" w:hAnsi="仿宋" w:cs="仿宋"/>
          <w:sz w:val="28"/>
          <w:szCs w:val="28"/>
          <w:highlight w:val="yellow"/>
          <w:lang w:val="zh-CN"/>
        </w:rPr>
        <w:sectPr>
          <w:pgSz w:w="11906" w:h="16838"/>
          <w:pgMar w:top="2098" w:right="1474" w:bottom="1985" w:left="1588" w:header="851" w:footer="992" w:gutter="0"/>
          <w:pgNumType w:fmt="decimal" w:start="1"/>
          <w:cols w:space="425" w:num="1"/>
          <w:docGrid w:type="linesAndChars" w:linePitch="435" w:charSpace="0"/>
        </w:sectPr>
      </w:pPr>
      <w:r>
        <w:rPr>
          <w:rFonts w:hint="eastAsia" w:ascii="仿宋" w:hAnsi="仿宋" w:eastAsia="仿宋" w:cs="仿宋"/>
          <w:sz w:val="28"/>
          <w:szCs w:val="28"/>
          <w:highlight w:val="yellow"/>
          <w:lang w:val="zh-CN"/>
        </w:rPr>
        <w:fldChar w:fldCharType="end"/>
      </w:r>
      <w:bookmarkStart w:id="0" w:name="_Hlk72328543"/>
      <w:bookmarkStart w:id="1" w:name="_Toc564991843"/>
      <w:bookmarkStart w:id="2" w:name="_Toc1587464822"/>
    </w:p>
    <w:p>
      <w:pPr>
        <w:ind w:firstLine="0" w:firstLineChars="0"/>
        <w:jc w:val="center"/>
        <w:rPr>
          <w:rFonts w:ascii="方正小标宋简体" w:hAnsi="方正小标宋简体" w:eastAsia="方正小标宋简体" w:cstheme="majorEastAsia"/>
          <w:sz w:val="36"/>
          <w:szCs w:val="36"/>
        </w:rPr>
      </w:pPr>
      <w:r>
        <w:rPr>
          <w:rFonts w:hint="eastAsia" w:ascii="方正小标宋简体" w:hAnsi="方正小标宋简体" w:eastAsia="方正小标宋简体" w:cstheme="majorEastAsia"/>
          <w:sz w:val="36"/>
          <w:szCs w:val="36"/>
        </w:rPr>
        <w:t>北京市民政局</w:t>
      </w:r>
      <w:bookmarkEnd w:id="0"/>
      <w:bookmarkEnd w:id="1"/>
      <w:bookmarkEnd w:id="2"/>
    </w:p>
    <w:p>
      <w:pPr>
        <w:ind w:firstLine="0" w:firstLineChars="0"/>
        <w:jc w:val="center"/>
        <w:rPr>
          <w:rFonts w:ascii="方正小标宋简体" w:hAnsi="方正小标宋简体" w:eastAsia="方正小标宋简体" w:cstheme="majorEastAsia"/>
          <w:sz w:val="36"/>
          <w:szCs w:val="36"/>
        </w:rPr>
      </w:pPr>
      <w:bookmarkStart w:id="3" w:name="_Toc946965361"/>
      <w:r>
        <w:rPr>
          <w:rFonts w:hint="eastAsia" w:ascii="方正小标宋简体" w:hAnsi="方正小标宋简体" w:eastAsia="方正小标宋简体" w:cstheme="majorEastAsia"/>
          <w:sz w:val="36"/>
          <w:szCs w:val="36"/>
        </w:rPr>
        <w:t>社会办养老机构床位运营补贴</w:t>
      </w:r>
    </w:p>
    <w:p>
      <w:pPr>
        <w:ind w:firstLine="0" w:firstLineChars="0"/>
        <w:jc w:val="center"/>
        <w:rPr>
          <w:rFonts w:ascii="方正小标宋简体" w:hAnsi="方正小标宋简体" w:eastAsia="方正小标宋简体" w:cstheme="majorEastAsia"/>
          <w:sz w:val="36"/>
          <w:szCs w:val="36"/>
        </w:rPr>
      </w:pPr>
      <w:bookmarkStart w:id="4" w:name="_Toc745501188"/>
      <w:r>
        <w:rPr>
          <w:rFonts w:hint="eastAsia" w:ascii="方正小标宋简体" w:hAnsi="方正小标宋简体" w:eastAsia="方正小标宋简体" w:cstheme="majorEastAsia"/>
          <w:sz w:val="36"/>
          <w:szCs w:val="36"/>
        </w:rPr>
        <w:t>项目</w:t>
      </w:r>
      <w:bookmarkEnd w:id="3"/>
      <w:bookmarkEnd w:id="4"/>
      <w:bookmarkStart w:id="5" w:name="_Toc1218870118"/>
      <w:bookmarkStart w:id="6" w:name="_Toc645514410"/>
      <w:r>
        <w:rPr>
          <w:rFonts w:hint="eastAsia" w:ascii="方正小标宋简体" w:hAnsi="方正小标宋简体" w:eastAsia="方正小标宋简体" w:cstheme="majorEastAsia"/>
          <w:sz w:val="36"/>
          <w:szCs w:val="36"/>
        </w:rPr>
        <w:t>绩效评价报告</w:t>
      </w:r>
      <w:bookmarkEnd w:id="5"/>
      <w:bookmarkEnd w:id="6"/>
    </w:p>
    <w:p>
      <w:pPr>
        <w:pStyle w:val="2"/>
        <w:spacing w:line="560" w:lineRule="exact"/>
        <w:ind w:firstLine="640"/>
        <w:rPr>
          <w:rFonts w:eastAsia="黑体"/>
          <w:b w:val="0"/>
        </w:rPr>
      </w:pPr>
      <w:bookmarkStart w:id="7" w:name="_Toc515586344"/>
      <w:bookmarkStart w:id="8" w:name="_Toc169183181"/>
      <w:bookmarkStart w:id="9" w:name="_Toc1730952070"/>
      <w:bookmarkStart w:id="10" w:name="_Toc73304226"/>
      <w:bookmarkStart w:id="11" w:name="_Toc103094541"/>
      <w:bookmarkStart w:id="12" w:name="_Toc2087770888"/>
      <w:bookmarkStart w:id="13" w:name="_Toc103096311"/>
      <w:r>
        <w:rPr>
          <w:rFonts w:hint="eastAsia" w:eastAsia="黑体"/>
          <w:b w:val="0"/>
        </w:rPr>
        <w:t>一、</w:t>
      </w:r>
      <w:bookmarkEnd w:id="7"/>
      <w:bookmarkEnd w:id="8"/>
      <w:r>
        <w:rPr>
          <w:rFonts w:hint="eastAsia" w:eastAsia="黑体"/>
          <w:b w:val="0"/>
        </w:rPr>
        <w:t>基本情况</w:t>
      </w:r>
      <w:bookmarkEnd w:id="9"/>
      <w:bookmarkEnd w:id="10"/>
      <w:bookmarkEnd w:id="11"/>
      <w:bookmarkEnd w:id="12"/>
      <w:bookmarkEnd w:id="13"/>
    </w:p>
    <w:p>
      <w:pPr>
        <w:pStyle w:val="3"/>
        <w:ind w:firstLine="640"/>
      </w:pPr>
      <w:bookmarkStart w:id="14" w:name="_Toc1430006283"/>
      <w:bookmarkStart w:id="15" w:name="_Toc515586345"/>
      <w:bookmarkStart w:id="16" w:name="_Toc150474581"/>
      <w:bookmarkStart w:id="17" w:name="_Toc103094542"/>
      <w:bookmarkStart w:id="18" w:name="_Toc1515996651"/>
      <w:bookmarkStart w:id="19" w:name="_Toc103096312"/>
      <w:r>
        <w:rPr>
          <w:rFonts w:hint="eastAsia"/>
        </w:rPr>
        <w:t>（一）项目概况</w:t>
      </w:r>
      <w:bookmarkEnd w:id="14"/>
      <w:bookmarkEnd w:id="15"/>
      <w:bookmarkEnd w:id="16"/>
      <w:bookmarkEnd w:id="17"/>
      <w:bookmarkEnd w:id="18"/>
      <w:bookmarkEnd w:id="19"/>
    </w:p>
    <w:p>
      <w:pPr>
        <w:pStyle w:val="4"/>
        <w:ind w:firstLine="643"/>
      </w:pPr>
      <w:bookmarkStart w:id="20" w:name="_Toc103094543"/>
      <w:r>
        <w:rPr>
          <w:rFonts w:hint="eastAsia"/>
        </w:rPr>
        <w:t>1.</w:t>
      </w:r>
      <w:r>
        <w:rPr>
          <w:rFonts w:hint="eastAsia"/>
          <w:lang w:eastAsia="zh-Hans"/>
        </w:rPr>
        <w:t>项目</w:t>
      </w:r>
      <w:r>
        <w:rPr>
          <w:rFonts w:hint="eastAsia"/>
        </w:rPr>
        <w:t>背景</w:t>
      </w:r>
      <w:bookmarkEnd w:id="20"/>
    </w:p>
    <w:p>
      <w:pPr>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rPr>
        <w:t>为贯彻落实《关于加快发展养老服务业的若干意见》（国发〔2013〕35 号）、《关于加快养老服务业发展的意见》（京政发〔2013〕32 号）、《关于加快本市养老机构建设实施办法》（京政办发〔2013〕56号），2014年，</w:t>
      </w:r>
      <w:r>
        <w:rPr>
          <w:rFonts w:hint="eastAsia" w:ascii="仿宋_GB2312" w:hAnsi="仿宋_GB2312" w:eastAsia="仿宋_GB2312" w:cs="仿宋_GB2312"/>
          <w:bCs/>
          <w:lang w:eastAsia="zh-Hans"/>
        </w:rPr>
        <w:t>北京市民政局（以下简称“市民政局”）、北京</w:t>
      </w:r>
      <w:r>
        <w:rPr>
          <w:rFonts w:hint="eastAsia" w:ascii="仿宋_GB2312" w:hAnsi="仿宋_GB2312" w:eastAsia="仿宋_GB2312" w:cs="仿宋_GB2312"/>
          <w:bCs/>
        </w:rPr>
        <w:t>市</w:t>
      </w:r>
      <w:r>
        <w:rPr>
          <w:rFonts w:hint="eastAsia" w:ascii="仿宋_GB2312" w:hAnsi="仿宋_GB2312" w:eastAsia="仿宋_GB2312" w:cs="仿宋_GB2312"/>
          <w:bCs/>
          <w:lang w:eastAsia="zh-Hans"/>
        </w:rPr>
        <w:t>财政局（以下简称“市财政局”）以及北京市残疾人联合会共同</w:t>
      </w:r>
      <w:r>
        <w:rPr>
          <w:rFonts w:hint="eastAsia" w:ascii="仿宋_GB2312" w:hAnsi="仿宋_GB2312" w:eastAsia="仿宋_GB2312" w:cs="仿宋_GB2312"/>
          <w:bCs/>
        </w:rPr>
        <w:t>制定《社会力量兴办非营利性社会福利机构运营资助办法》（京民福发〔2014〕274号），</w:t>
      </w:r>
      <w:r>
        <w:rPr>
          <w:rFonts w:hint="eastAsia" w:ascii="仿宋_GB2312" w:hAnsi="仿宋_GB2312" w:eastAsia="仿宋_GB2312" w:cs="仿宋_GB2312"/>
          <w:bCs/>
          <w:lang w:eastAsia="zh-Hans"/>
        </w:rPr>
        <w:t>提出</w:t>
      </w:r>
      <w:r>
        <w:rPr>
          <w:rFonts w:hint="eastAsia" w:ascii="仿宋_GB2312" w:hAnsi="仿宋_GB2312" w:eastAsia="仿宋_GB2312" w:cs="仿宋_GB2312"/>
          <w:bCs/>
        </w:rPr>
        <w:t>按照收住服务对象身</w:t>
      </w:r>
      <w:r>
        <w:rPr>
          <w:rFonts w:hint="eastAsia" w:ascii="仿宋_GB2312" w:hAnsi="仿宋_GB2312" w:eastAsia="仿宋_GB2312" w:cs="仿宋_GB2312"/>
          <w:bCs/>
          <w:lang w:eastAsia="zh-Hans"/>
        </w:rPr>
        <w:t>体状况给予养老机构运营补贴。</w:t>
      </w:r>
      <w:r>
        <w:rPr>
          <w:rFonts w:hint="eastAsia" w:ascii="仿宋_GB2312" w:hAnsi="仿宋_GB2312" w:eastAsia="仿宋_GB2312" w:cs="仿宋_GB2312"/>
          <w:bCs/>
        </w:rPr>
        <w:t>随着养老机构标准化建设、医养结合、诚信体系建设等养老院服务质量建设任务的推进，</w:t>
      </w:r>
      <w:r>
        <w:rPr>
          <w:rFonts w:hint="eastAsia" w:ascii="仿宋_GB2312" w:hAnsi="仿宋_GB2312" w:eastAsia="仿宋_GB2312" w:cs="仿宋_GB2312"/>
          <w:bCs/>
          <w:lang w:eastAsia="zh-Hans"/>
        </w:rPr>
        <w:t>依据绩效成本预算分析成果，2018年，市民政局、市财政局等部门联合印发《北京市养老机构运营补贴管理办法》（京民福发〔2018〕411号），</w:t>
      </w:r>
      <w:r>
        <w:rPr>
          <w:rFonts w:hint="eastAsia" w:ascii="仿宋_GB2312" w:hAnsi="仿宋_GB2312" w:eastAsia="仿宋_GB2312" w:cs="仿宋_GB2312"/>
          <w:bCs/>
        </w:rPr>
        <w:t>对以往养老机构运营补贴政策进行修订，打破营利与非营利的限制，将运营补贴作为引导养老机构等市场主体提升养老服务质量的重要手段，</w:t>
      </w:r>
      <w:r>
        <w:rPr>
          <w:rFonts w:hint="eastAsia" w:ascii="仿宋_GB2312" w:hAnsi="仿宋_GB2312" w:eastAsia="仿宋_GB2312" w:cs="仿宋_GB2312"/>
          <w:bCs/>
          <w:lang w:eastAsia="zh-Hans"/>
        </w:rPr>
        <w:t>改变相对单一的运营补贴方式，综合考虑养老机构收住服务对象身体状况、服务质量星级评定、信用状况和医疗服务能力等多个因素给予养老机构补贴，并建立运营补贴与财政绩效挂钩机制。2019年起，市民政局养老工作处申请实施“社会办养老机构床位运营补贴”市对区专项转移支付项目，旨在引导养老机构进一步提升养老服务质量，提升社会群众对养老机构的认可度。</w:t>
      </w:r>
    </w:p>
    <w:p>
      <w:pPr>
        <w:pStyle w:val="4"/>
        <w:ind w:firstLine="643"/>
        <w:rPr>
          <w:rFonts w:hint="eastAsia" w:ascii="仿宋_GB2312" w:hAnsi="仿宋_GB2312" w:eastAsia="仿宋_GB2312" w:cs="仿宋_GB2312"/>
        </w:rPr>
      </w:pPr>
      <w:bookmarkStart w:id="21" w:name="_Toc103094544"/>
      <w:r>
        <w:rPr>
          <w:rFonts w:hint="eastAsia" w:ascii="仿宋_GB2312" w:hAnsi="仿宋_GB2312" w:eastAsia="仿宋_GB2312" w:cs="仿宋_GB2312"/>
        </w:rPr>
        <w:t>2.项目内容</w:t>
      </w:r>
      <w:bookmarkEnd w:id="21"/>
    </w:p>
    <w:p>
      <w:pPr>
        <w:ind w:firstLine="640"/>
        <w:rPr>
          <w:rFonts w:hint="eastAsia" w:ascii="仿宋_GB2312" w:hAnsi="仿宋_GB2312" w:eastAsia="仿宋_GB2312" w:cs="仿宋_GB2312"/>
        </w:rPr>
      </w:pPr>
      <w:r>
        <w:rPr>
          <w:rFonts w:hint="eastAsia" w:ascii="仿宋_GB2312" w:hAnsi="仿宋_GB2312" w:eastAsia="仿宋_GB2312" w:cs="仿宋_GB2312"/>
          <w:bCs/>
        </w:rPr>
        <w:t>按照</w:t>
      </w:r>
      <w:r>
        <w:rPr>
          <w:rFonts w:hint="eastAsia" w:ascii="仿宋_GB2312" w:hAnsi="仿宋_GB2312" w:eastAsia="仿宋_GB2312" w:cs="仿宋_GB2312"/>
          <w:bCs/>
          <w:lang w:eastAsia="zh-Hans"/>
        </w:rPr>
        <w:t>《北京市养老机构运营补贴管理办法》（京民福发〔2018〕411号）、《北京市民政局关于进一步做好养老机构运营补贴工作的通知》（京民养老发〔2020〕16号），</w:t>
      </w:r>
      <w:r>
        <w:rPr>
          <w:rFonts w:hint="eastAsia" w:ascii="仿宋_GB2312" w:hAnsi="仿宋_GB2312" w:eastAsia="仿宋_GB2312" w:cs="仿宋_GB2312"/>
          <w:bCs/>
        </w:rPr>
        <w:t>对收住老年人、残疾人并具有法人资质的社会办养老机构、公办（建）民营养老机构、残疾人服务机构给予床位运营补贴。</w:t>
      </w:r>
      <w:r>
        <w:rPr>
          <w:rFonts w:hint="eastAsia" w:ascii="仿宋_GB2312" w:hAnsi="仿宋_GB2312" w:eastAsia="仿宋_GB2312" w:cs="仿宋_GB2312"/>
        </w:rPr>
        <w:t>2022年，为减轻疫情对养老服务机构运营影响，帮助养老服务机构共渡难关和稳定发展，进一步提高补贴标准</w:t>
      </w:r>
      <w:r>
        <w:rPr>
          <w:rFonts w:hint="eastAsia" w:ascii="仿宋_GB2312" w:hAnsi="仿宋_GB2312" w:eastAsia="仿宋_GB2312" w:cs="仿宋_GB2312"/>
          <w:lang w:eastAsia="zh-Hans"/>
        </w:rPr>
        <w:t>。具体</w:t>
      </w:r>
      <w:r>
        <w:rPr>
          <w:rFonts w:hint="eastAsia" w:ascii="仿宋_GB2312" w:hAnsi="仿宋_GB2312" w:eastAsia="仿宋_GB2312" w:cs="仿宋_GB2312"/>
        </w:rPr>
        <w:t>项目</w:t>
      </w:r>
      <w:r>
        <w:rPr>
          <w:rFonts w:hint="eastAsia" w:ascii="仿宋_GB2312" w:hAnsi="仿宋_GB2312" w:eastAsia="仿宋_GB2312" w:cs="仿宋_GB2312"/>
          <w:lang w:eastAsia="zh-Hans"/>
        </w:rPr>
        <w:t>内容见下表</w:t>
      </w:r>
      <w:r>
        <w:rPr>
          <w:rFonts w:hint="eastAsia" w:ascii="仿宋_GB2312" w:hAnsi="仿宋_GB2312" w:eastAsia="仿宋_GB2312" w:cs="仿宋_GB2312"/>
        </w:rPr>
        <w:t>：</w:t>
      </w:r>
    </w:p>
    <w:p>
      <w:pPr>
        <w:topLinePunct/>
        <w:adjustRightInd w:val="0"/>
        <w:snapToGrid w:val="0"/>
        <w:spacing w:after="217" w:afterLines="50"/>
        <w:ind w:firstLine="0" w:firstLineChars="0"/>
        <w:jc w:val="center"/>
        <w:rPr>
          <w:rFonts w:eastAsia="黑体" w:cs="Times New Roman"/>
          <w:sz w:val="28"/>
          <w:szCs w:val="28"/>
        </w:rPr>
      </w:pPr>
      <w:r>
        <w:rPr>
          <w:rFonts w:eastAsia="黑体" w:cs="Times New Roman"/>
          <w:sz w:val="28"/>
          <w:szCs w:val="28"/>
        </w:rPr>
        <w:t>表1  2022</w:t>
      </w:r>
      <w:r>
        <w:rPr>
          <w:rFonts w:eastAsia="黑体" w:cs="Times New Roman"/>
          <w:sz w:val="28"/>
          <w:szCs w:val="28"/>
          <w:lang w:eastAsia="zh-Hans"/>
        </w:rPr>
        <w:t>年度</w:t>
      </w:r>
      <w:r>
        <w:rPr>
          <w:rFonts w:hint="eastAsia" w:eastAsia="黑体" w:cs="Times New Roman"/>
          <w:sz w:val="28"/>
          <w:szCs w:val="28"/>
          <w:lang w:eastAsia="zh-Hans"/>
        </w:rPr>
        <w:t>社会办养老机构床位运营补贴</w:t>
      </w:r>
      <w:r>
        <w:rPr>
          <w:rFonts w:eastAsia="黑体" w:cs="Times New Roman"/>
          <w:sz w:val="28"/>
          <w:szCs w:val="28"/>
        </w:rPr>
        <w:t>项目内容表</w:t>
      </w:r>
    </w:p>
    <w:tbl>
      <w:tblPr>
        <w:tblStyle w:val="20"/>
        <w:tblW w:w="5000" w:type="pct"/>
        <w:tblInd w:w="0" w:type="dxa"/>
        <w:tblLayout w:type="autofit"/>
        <w:tblCellMar>
          <w:top w:w="0" w:type="dxa"/>
          <w:left w:w="108" w:type="dxa"/>
          <w:bottom w:w="0" w:type="dxa"/>
          <w:right w:w="108" w:type="dxa"/>
        </w:tblCellMar>
      </w:tblPr>
      <w:tblGrid>
        <w:gridCol w:w="1167"/>
        <w:gridCol w:w="5226"/>
        <w:gridCol w:w="2668"/>
      </w:tblGrid>
      <w:tr>
        <w:tblPrEx>
          <w:tblCellMar>
            <w:top w:w="0" w:type="dxa"/>
            <w:left w:w="108" w:type="dxa"/>
            <w:bottom w:w="0" w:type="dxa"/>
            <w:right w:w="108" w:type="dxa"/>
          </w:tblCellMar>
        </w:tblPrEx>
        <w:trPr>
          <w:trHeight w:val="90" w:hRule="atLeast"/>
          <w:tblHeader/>
        </w:trPr>
        <w:tc>
          <w:tcPr>
            <w:tcW w:w="644" w:type="pc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bookmarkStart w:id="22" w:name="_Toc103094545"/>
            <w:r>
              <w:rPr>
                <w:rFonts w:hint="eastAsia" w:ascii="宋体" w:hAnsi="宋体" w:eastAsia="宋体" w:cs="宋体"/>
                <w:b/>
                <w:bCs/>
                <w:color w:val="000000"/>
                <w:kern w:val="0"/>
                <w:sz w:val="18"/>
                <w:szCs w:val="18"/>
                <w:lang w:bidi="ar"/>
              </w:rPr>
              <w:t>补贴类型</w:t>
            </w:r>
          </w:p>
        </w:tc>
        <w:tc>
          <w:tcPr>
            <w:tcW w:w="2884" w:type="pct"/>
            <w:tcBorders>
              <w:top w:val="single" w:color="000000" w:sz="4" w:space="0"/>
              <w:left w:val="nil"/>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补贴内容</w:t>
            </w:r>
          </w:p>
        </w:tc>
        <w:tc>
          <w:tcPr>
            <w:tcW w:w="1473" w:type="pc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资金保障情况</w:t>
            </w:r>
          </w:p>
        </w:tc>
      </w:tr>
      <w:tr>
        <w:tblPrEx>
          <w:tblCellMar>
            <w:top w:w="0" w:type="dxa"/>
            <w:left w:w="108" w:type="dxa"/>
            <w:bottom w:w="0" w:type="dxa"/>
            <w:right w:w="108" w:type="dxa"/>
          </w:tblCellMar>
        </w:tblPrEx>
        <w:trPr>
          <w:trHeight w:val="807" w:hRule="atLeast"/>
        </w:trPr>
        <w:tc>
          <w:tcPr>
            <w:tcW w:w="6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社会办养老机构床位运营补贴</w:t>
            </w: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收住生活自理老年人、残疾等级为三至四级视力、肢体、听力、言语残疾人和四级智力残疾人的机构，按照每床每月100元予以补贴。</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市财政通过专项转移支付方式对各区按照每床每月100元予以补助。</w:t>
            </w:r>
          </w:p>
        </w:tc>
      </w:tr>
      <w:tr>
        <w:tblPrEx>
          <w:tblCellMar>
            <w:top w:w="0" w:type="dxa"/>
            <w:left w:w="108" w:type="dxa"/>
            <w:bottom w:w="0" w:type="dxa"/>
            <w:right w:w="108" w:type="dxa"/>
          </w:tblCellMar>
        </w:tblPrEx>
        <w:trPr>
          <w:trHeight w:val="90" w:hRule="atLeast"/>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收住失能老年人、残疾等级为一至二级视力、肢体、听力、言语残疾人和二至三级智力残疾人的机构，按照每床每月600元予以补贴。</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市财政通过专项转移支付方式对各区按照每床每月500元予以补助，其余由区级保障。</w:t>
            </w:r>
          </w:p>
        </w:tc>
      </w:tr>
      <w:tr>
        <w:tblPrEx>
          <w:tblCellMar>
            <w:top w:w="0" w:type="dxa"/>
            <w:left w:w="108" w:type="dxa"/>
            <w:bottom w:w="0" w:type="dxa"/>
            <w:right w:w="108" w:type="dxa"/>
          </w:tblCellMar>
        </w:tblPrEx>
        <w:trPr>
          <w:trHeight w:val="90" w:hRule="atLeast"/>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收住失智老年人、残疾等级为一级智力残疾人和二级智力残疾人中的多重残疾人的机构，按照每床每月700元予以补贴。</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市财政通过专项转移支付方式对各区按照每床每月600元予以补助，其余由区级保障。</w:t>
            </w:r>
          </w:p>
        </w:tc>
      </w:tr>
      <w:tr>
        <w:tblPrEx>
          <w:tblCellMar>
            <w:top w:w="0" w:type="dxa"/>
            <w:left w:w="108" w:type="dxa"/>
            <w:bottom w:w="0" w:type="dxa"/>
            <w:right w:w="108" w:type="dxa"/>
          </w:tblCellMar>
        </w:tblPrEx>
        <w:trPr>
          <w:trHeight w:val="90" w:hRule="atLeast"/>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服务质量被评定为二星级的机构，在享受规定补贴的基础上，按照每床每月增加50元予以补贴；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被评定为三星级的机构，按照每床每月增加100元予以补贴；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被评定为四星级、五星级的机构，按照每床每月增加150元予以补贴。</w:t>
            </w:r>
          </w:p>
        </w:tc>
        <w:tc>
          <w:tcPr>
            <w:tcW w:w="14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区财政保障。</w:t>
            </w:r>
          </w:p>
        </w:tc>
      </w:tr>
      <w:tr>
        <w:tblPrEx>
          <w:tblCellMar>
            <w:top w:w="0" w:type="dxa"/>
            <w:left w:w="108" w:type="dxa"/>
            <w:bottom w:w="0" w:type="dxa"/>
            <w:right w:w="108" w:type="dxa"/>
          </w:tblCellMar>
        </w:tblPrEx>
        <w:trPr>
          <w:trHeight w:val="1640" w:hRule="atLeast"/>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一年内没有基本失信信息记录的机构，在享受规定补贴的基础上，按照每床每月增加50元予以补贴；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对于连续三年没有基本失信信息记录的机构，按照每床每月增加100元予以补贴；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对于连续五年没有基本失信信息记录的机构，按照每床每月增加150元予以补贴。</w:t>
            </w:r>
          </w:p>
        </w:tc>
        <w:tc>
          <w:tcPr>
            <w:tcW w:w="1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r>
      <w:tr>
        <w:tblPrEx>
          <w:tblCellMar>
            <w:top w:w="0" w:type="dxa"/>
            <w:left w:w="108" w:type="dxa"/>
            <w:bottom w:w="0" w:type="dxa"/>
            <w:right w:w="108" w:type="dxa"/>
          </w:tblCellMar>
        </w:tblPrEx>
        <w:trPr>
          <w:trHeight w:val="90" w:hRule="atLeast"/>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对于养老机构设置医务室、护理站等内设医疗机构或引入医疗分支机构的，在享受第六条规定补贴的基础上，按照每床每月增加50元予以补贴。</w:t>
            </w:r>
          </w:p>
        </w:tc>
        <w:tc>
          <w:tcPr>
            <w:tcW w:w="1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rPr>
                <w:rFonts w:ascii="宋体" w:hAnsi="宋体" w:eastAsia="宋体" w:cs="宋体"/>
                <w:color w:val="000000"/>
                <w:sz w:val="18"/>
                <w:szCs w:val="18"/>
              </w:rPr>
            </w:pPr>
          </w:p>
        </w:tc>
      </w:tr>
      <w:tr>
        <w:tblPrEx>
          <w:tblCellMar>
            <w:top w:w="0" w:type="dxa"/>
            <w:left w:w="108" w:type="dxa"/>
            <w:bottom w:w="0" w:type="dxa"/>
            <w:right w:w="108" w:type="dxa"/>
          </w:tblCellMar>
        </w:tblPrEx>
        <w:trPr>
          <w:trHeight w:val="1097" w:hRule="atLeast"/>
        </w:trPr>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疫情防控期间提高养老机构运营补贴</w:t>
            </w:r>
          </w:p>
        </w:tc>
        <w:tc>
          <w:tcPr>
            <w:tcW w:w="28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自2022年3月实行养老服务机构一级防控措施起，在现有运营补贴标准的基础上，对养老机构按照每实际收住1名老年人每月增加500元的标准，给予最高6个月的运营补贴。</w:t>
            </w:r>
          </w:p>
        </w:tc>
        <w:tc>
          <w:tcPr>
            <w:tcW w:w="14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市、区财政按照 6：4 比例分担</w:t>
            </w:r>
            <w:r>
              <w:rPr>
                <w:rFonts w:ascii="宋体" w:hAnsi="宋体" w:eastAsia="宋体" w:cs="宋体"/>
                <w:color w:val="000000"/>
                <w:kern w:val="0"/>
                <w:sz w:val="18"/>
                <w:szCs w:val="18"/>
                <w:lang w:bidi="ar"/>
              </w:rPr>
              <w:t>。</w:t>
            </w:r>
          </w:p>
        </w:tc>
      </w:tr>
    </w:tbl>
    <w:p>
      <w:pPr>
        <w:pStyle w:val="4"/>
        <w:spacing w:before="217" w:beforeLines="50"/>
        <w:ind w:firstLine="643"/>
      </w:pPr>
      <w:r>
        <w:rPr>
          <w:rFonts w:hint="eastAsia"/>
        </w:rPr>
        <w:t>3.资金投入和使用情况</w:t>
      </w:r>
      <w:bookmarkEnd w:id="22"/>
      <w:bookmarkStart w:id="23" w:name="_Toc515586347"/>
    </w:p>
    <w:p>
      <w:pPr>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lang w:eastAsia="zh-Hans"/>
        </w:rPr>
        <w:t>2022年</w:t>
      </w:r>
      <w:r>
        <w:rPr>
          <w:rFonts w:hint="eastAsia" w:ascii="仿宋_GB2312" w:hAnsi="仿宋_GB2312" w:eastAsia="仿宋_GB2312" w:cs="仿宋_GB2312"/>
          <w:bCs/>
        </w:rPr>
        <w:t>市级</w:t>
      </w:r>
      <w:r>
        <w:rPr>
          <w:rFonts w:hint="eastAsia" w:ascii="仿宋_GB2312" w:hAnsi="仿宋_GB2312" w:eastAsia="仿宋_GB2312" w:cs="仿宋_GB2312"/>
          <w:bCs/>
          <w:lang w:eastAsia="zh-Hans"/>
        </w:rPr>
        <w:t>预算共31,566.21万元，其中社会办养老机构床位运营补贴24,553.63万元；疫情防控期间提高养老机构运营补贴7,012.58万元。截至2022年12月底，</w:t>
      </w:r>
      <w:r>
        <w:rPr>
          <w:rFonts w:hint="eastAsia" w:ascii="仿宋_GB2312" w:hAnsi="仿宋_GB2312" w:eastAsia="仿宋_GB2312" w:cs="仿宋_GB2312"/>
          <w:bCs/>
        </w:rPr>
        <w:t>市级资金</w:t>
      </w:r>
      <w:r>
        <w:rPr>
          <w:rFonts w:hint="eastAsia" w:ascii="仿宋_GB2312" w:hAnsi="仿宋_GB2312" w:eastAsia="仿宋_GB2312" w:cs="仿宋_GB2312"/>
          <w:bCs/>
          <w:lang w:eastAsia="zh-Hans"/>
        </w:rPr>
        <w:t>支出27,160.44万元，预算执行率86.04%，其中社会办养老机构床位运营补贴支出21,271.92万元，预算执行率86.63%；疫情防控期间提高养老机构运营补贴支出5,888.52万元，预算执行率83.97%。截至2023年4月底，</w:t>
      </w:r>
      <w:r>
        <w:rPr>
          <w:rFonts w:hint="eastAsia" w:ascii="仿宋_GB2312" w:hAnsi="仿宋_GB2312" w:eastAsia="仿宋_GB2312" w:cs="仿宋_GB2312"/>
          <w:bCs/>
        </w:rPr>
        <w:t>市级资金</w:t>
      </w:r>
      <w:r>
        <w:rPr>
          <w:rFonts w:hint="eastAsia" w:ascii="仿宋_GB2312" w:hAnsi="仿宋_GB2312" w:eastAsia="仿宋_GB2312" w:cs="仿宋_GB2312"/>
          <w:bCs/>
          <w:lang w:eastAsia="zh-Hans"/>
        </w:rPr>
        <w:t>支出28,460.59万元，预算执行率90.16%。市级资金执行情况见下表。</w:t>
      </w:r>
    </w:p>
    <w:p>
      <w:pPr>
        <w:keepNext/>
        <w:topLinePunct/>
        <w:adjustRightInd w:val="0"/>
        <w:snapToGrid w:val="0"/>
        <w:spacing w:before="217" w:beforeLines="50" w:after="217" w:afterLines="50" w:line="240" w:lineRule="auto"/>
        <w:ind w:firstLine="0" w:firstLineChars="0"/>
        <w:jc w:val="center"/>
        <w:rPr>
          <w:rFonts w:eastAsia="黑体" w:cs="Times New Roman"/>
          <w:sz w:val="28"/>
          <w:szCs w:val="28"/>
        </w:rPr>
      </w:pPr>
      <w:r>
        <w:rPr>
          <w:rFonts w:eastAsia="黑体" w:cs="Times New Roman"/>
          <w:sz w:val="28"/>
          <w:szCs w:val="28"/>
        </w:rPr>
        <w:t>表2  2022</w:t>
      </w:r>
      <w:r>
        <w:rPr>
          <w:rFonts w:hint="eastAsia" w:eastAsia="黑体" w:cs="Times New Roman"/>
          <w:sz w:val="28"/>
          <w:szCs w:val="28"/>
        </w:rPr>
        <w:t>年市级资金投入和使用</w:t>
      </w:r>
      <w:r>
        <w:rPr>
          <w:rFonts w:hint="eastAsia" w:eastAsia="黑体" w:cs="Times New Roman"/>
          <w:sz w:val="28"/>
          <w:szCs w:val="28"/>
          <w:lang w:eastAsia="zh-Hans"/>
        </w:rPr>
        <w:t>情况</w:t>
      </w:r>
      <w:r>
        <w:rPr>
          <w:rFonts w:eastAsia="黑体" w:cs="Times New Roman"/>
          <w:sz w:val="28"/>
          <w:szCs w:val="28"/>
        </w:rPr>
        <w:t>表</w:t>
      </w:r>
    </w:p>
    <w:p>
      <w:pPr>
        <w:keepNext/>
        <w:topLinePunct/>
        <w:adjustRightInd w:val="0"/>
        <w:snapToGrid w:val="0"/>
        <w:spacing w:after="217" w:afterLines="50" w:line="240" w:lineRule="auto"/>
        <w:ind w:firstLine="0" w:firstLineChars="0"/>
        <w:jc w:val="right"/>
        <w:rPr>
          <w:rFonts w:eastAsia="黑体" w:cs="Times New Roman"/>
          <w:sz w:val="28"/>
          <w:szCs w:val="28"/>
          <w:lang w:eastAsia="zh-Hans"/>
        </w:rPr>
      </w:pPr>
      <w:r>
        <w:rPr>
          <w:rFonts w:hint="eastAsia" w:eastAsia="黑体" w:cs="Times New Roman"/>
          <w:sz w:val="28"/>
          <w:szCs w:val="28"/>
          <w:lang w:eastAsia="zh-Hans"/>
        </w:rPr>
        <w:t>单位</w:t>
      </w:r>
      <w:r>
        <w:rPr>
          <w:rFonts w:eastAsia="黑体" w:cs="Times New Roman"/>
          <w:sz w:val="28"/>
          <w:szCs w:val="28"/>
          <w:lang w:eastAsia="zh-Hans"/>
        </w:rPr>
        <w:t>：</w:t>
      </w:r>
      <w:r>
        <w:rPr>
          <w:rFonts w:hint="eastAsia" w:eastAsia="黑体" w:cs="Times New Roman"/>
          <w:sz w:val="28"/>
          <w:szCs w:val="28"/>
          <w:lang w:eastAsia="zh-Hans"/>
        </w:rPr>
        <w:t>万元</w:t>
      </w:r>
    </w:p>
    <w:tbl>
      <w:tblPr>
        <w:tblStyle w:val="20"/>
        <w:tblW w:w="4997" w:type="pct"/>
        <w:jc w:val="center"/>
        <w:tblLayout w:type="autofit"/>
        <w:tblCellMar>
          <w:top w:w="0" w:type="dxa"/>
          <w:left w:w="108" w:type="dxa"/>
          <w:bottom w:w="0" w:type="dxa"/>
          <w:right w:w="108" w:type="dxa"/>
        </w:tblCellMar>
      </w:tblPr>
      <w:tblGrid>
        <w:gridCol w:w="638"/>
        <w:gridCol w:w="2210"/>
        <w:gridCol w:w="1270"/>
        <w:gridCol w:w="1176"/>
        <w:gridCol w:w="1292"/>
        <w:gridCol w:w="1178"/>
        <w:gridCol w:w="1292"/>
      </w:tblGrid>
      <w:tr>
        <w:tblPrEx>
          <w:tblCellMar>
            <w:top w:w="0" w:type="dxa"/>
            <w:left w:w="108" w:type="dxa"/>
            <w:bottom w:w="0" w:type="dxa"/>
            <w:right w:w="108" w:type="dxa"/>
          </w:tblCellMar>
        </w:tblPrEx>
        <w:trPr>
          <w:trHeight w:val="336" w:hRule="atLeast"/>
          <w:tblHeader/>
          <w:jc w:val="center"/>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序号</w:t>
            </w:r>
          </w:p>
        </w:tc>
        <w:tc>
          <w:tcPr>
            <w:tcW w:w="1220"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补贴类型</w:t>
            </w:r>
          </w:p>
        </w:tc>
        <w:tc>
          <w:tcPr>
            <w:tcW w:w="701" w:type="pct"/>
            <w:vMerge w:val="restar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预算数</w:t>
            </w:r>
          </w:p>
        </w:tc>
        <w:tc>
          <w:tcPr>
            <w:tcW w:w="1362" w:type="pct"/>
            <w:gridSpan w:val="2"/>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截至2022年12月底</w:t>
            </w:r>
          </w:p>
        </w:tc>
        <w:tc>
          <w:tcPr>
            <w:tcW w:w="1363" w:type="pct"/>
            <w:gridSpan w:val="2"/>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截至2023年4月底</w:t>
            </w:r>
          </w:p>
        </w:tc>
      </w:tr>
      <w:tr>
        <w:tblPrEx>
          <w:tblCellMar>
            <w:top w:w="0" w:type="dxa"/>
            <w:left w:w="108" w:type="dxa"/>
            <w:bottom w:w="0" w:type="dxa"/>
            <w:right w:w="108" w:type="dxa"/>
          </w:tblCellMar>
        </w:tblPrEx>
        <w:trPr>
          <w:trHeight w:val="336" w:hRule="atLeast"/>
          <w:tblHeader/>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p>
        </w:tc>
        <w:tc>
          <w:tcPr>
            <w:tcW w:w="1220"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p>
        </w:tc>
        <w:tc>
          <w:tcPr>
            <w:tcW w:w="701" w:type="pct"/>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p>
        </w:tc>
        <w:tc>
          <w:tcPr>
            <w:tcW w:w="64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支出数</w:t>
            </w:r>
          </w:p>
        </w:tc>
        <w:tc>
          <w:tcPr>
            <w:tcW w:w="71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预算执行率</w:t>
            </w:r>
          </w:p>
        </w:tc>
        <w:tc>
          <w:tcPr>
            <w:tcW w:w="650"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支出数</w:t>
            </w:r>
          </w:p>
        </w:tc>
        <w:tc>
          <w:tcPr>
            <w:tcW w:w="71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预算执行率</w:t>
            </w:r>
          </w:p>
        </w:tc>
      </w:tr>
      <w:tr>
        <w:tblPrEx>
          <w:tblCellMar>
            <w:top w:w="0" w:type="dxa"/>
            <w:left w:w="108" w:type="dxa"/>
            <w:bottom w:w="0" w:type="dxa"/>
            <w:right w:w="108" w:type="dxa"/>
          </w:tblCellMar>
        </w:tblPrEx>
        <w:trPr>
          <w:trHeight w:val="740" w:hRule="atLeast"/>
          <w:tblHeader/>
          <w:jc w:val="center"/>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社会办养老机构床位运营补贴</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24,553.63</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21,271.92</w:t>
            </w:r>
          </w:p>
        </w:tc>
        <w:tc>
          <w:tcPr>
            <w:tcW w:w="7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86.63%</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22,567.93</w:t>
            </w:r>
          </w:p>
        </w:tc>
        <w:tc>
          <w:tcPr>
            <w:tcW w:w="7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91.91%</w:t>
            </w:r>
          </w:p>
        </w:tc>
      </w:tr>
      <w:tr>
        <w:tblPrEx>
          <w:tblCellMar>
            <w:top w:w="0" w:type="dxa"/>
            <w:left w:w="108" w:type="dxa"/>
            <w:bottom w:w="0" w:type="dxa"/>
            <w:right w:w="108" w:type="dxa"/>
          </w:tblCellMar>
        </w:tblPrEx>
        <w:trPr>
          <w:trHeight w:val="740" w:hRule="atLeast"/>
          <w:tblHeader/>
          <w:jc w:val="center"/>
        </w:trPr>
        <w:tc>
          <w:tcPr>
            <w:tcW w:w="3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疫情防控期间提高养老机构运营补贴</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7,012.58</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5,888.52</w:t>
            </w:r>
          </w:p>
        </w:tc>
        <w:tc>
          <w:tcPr>
            <w:tcW w:w="7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83.97%</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5,892.67</w:t>
            </w:r>
          </w:p>
        </w:tc>
        <w:tc>
          <w:tcPr>
            <w:tcW w:w="7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84.03%</w:t>
            </w:r>
          </w:p>
        </w:tc>
      </w:tr>
      <w:tr>
        <w:tblPrEx>
          <w:tblCellMar>
            <w:top w:w="0" w:type="dxa"/>
            <w:left w:w="108" w:type="dxa"/>
            <w:bottom w:w="0" w:type="dxa"/>
            <w:right w:w="108" w:type="dxa"/>
          </w:tblCellMar>
        </w:tblPrEx>
        <w:trPr>
          <w:trHeight w:val="336" w:hRule="atLeast"/>
          <w:tblHeader/>
          <w:jc w:val="center"/>
        </w:trPr>
        <w:tc>
          <w:tcPr>
            <w:tcW w:w="15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rPr>
                <w:rFonts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合计</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b/>
                <w:bCs/>
                <w:color w:val="000000"/>
                <w:sz w:val="21"/>
                <w:szCs w:val="21"/>
              </w:rPr>
            </w:pPr>
            <w:r>
              <w:rPr>
                <w:rFonts w:hint="eastAsia" w:ascii="宋体" w:hAnsi="宋体" w:eastAsia="宋体" w:cs="宋体"/>
                <w:b/>
                <w:bCs/>
                <w:color w:val="000000"/>
                <w:kern w:val="0"/>
                <w:sz w:val="21"/>
                <w:szCs w:val="21"/>
                <w:lang w:bidi="ar"/>
              </w:rPr>
              <w:t>31</w:t>
            </w:r>
            <w:r>
              <w:rPr>
                <w:rFonts w:ascii="宋体" w:hAnsi="宋体" w:eastAsia="宋体" w:cs="宋体"/>
                <w:b/>
                <w:bCs/>
                <w:color w:val="000000"/>
                <w:kern w:val="0"/>
                <w:sz w:val="21"/>
                <w:szCs w:val="21"/>
                <w:lang w:bidi="ar"/>
              </w:rPr>
              <w:t>,</w:t>
            </w:r>
            <w:r>
              <w:rPr>
                <w:rFonts w:hint="eastAsia" w:ascii="宋体" w:hAnsi="宋体" w:eastAsia="宋体" w:cs="宋体"/>
                <w:b/>
                <w:bCs/>
                <w:color w:val="000000"/>
                <w:kern w:val="0"/>
                <w:sz w:val="21"/>
                <w:szCs w:val="21"/>
                <w:lang w:bidi="ar"/>
              </w:rPr>
              <w:t>566.21</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b/>
                <w:bCs/>
                <w:color w:val="000000"/>
                <w:sz w:val="21"/>
                <w:szCs w:val="21"/>
              </w:rPr>
            </w:pPr>
            <w:r>
              <w:rPr>
                <w:rFonts w:hint="eastAsia" w:ascii="宋体" w:hAnsi="宋体" w:eastAsia="宋体" w:cs="宋体"/>
                <w:b/>
                <w:bCs/>
                <w:color w:val="000000"/>
                <w:kern w:val="0"/>
                <w:sz w:val="21"/>
                <w:szCs w:val="21"/>
                <w:lang w:bidi="ar"/>
              </w:rPr>
              <w:t>27</w:t>
            </w:r>
            <w:r>
              <w:rPr>
                <w:rFonts w:ascii="宋体" w:hAnsi="宋体" w:eastAsia="宋体" w:cs="宋体"/>
                <w:b/>
                <w:bCs/>
                <w:color w:val="000000"/>
                <w:kern w:val="0"/>
                <w:sz w:val="21"/>
                <w:szCs w:val="21"/>
                <w:lang w:bidi="ar"/>
              </w:rPr>
              <w:t>,</w:t>
            </w:r>
            <w:r>
              <w:rPr>
                <w:rFonts w:hint="eastAsia" w:ascii="宋体" w:hAnsi="宋体" w:eastAsia="宋体" w:cs="宋体"/>
                <w:b/>
                <w:bCs/>
                <w:color w:val="000000"/>
                <w:kern w:val="0"/>
                <w:sz w:val="21"/>
                <w:szCs w:val="21"/>
                <w:lang w:bidi="ar"/>
              </w:rPr>
              <w:t>160.44</w:t>
            </w:r>
          </w:p>
        </w:tc>
        <w:tc>
          <w:tcPr>
            <w:tcW w:w="7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kern w:val="0"/>
                <w:sz w:val="21"/>
                <w:szCs w:val="21"/>
                <w:lang w:bidi="ar"/>
              </w:rPr>
              <w:t>86.04%</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right"/>
              <w:textAlignment w:val="center"/>
              <w:rPr>
                <w:rFonts w:ascii="宋体" w:hAnsi="宋体" w:eastAsia="宋体" w:cs="宋体"/>
                <w:b/>
                <w:bCs/>
                <w:color w:val="000000"/>
                <w:sz w:val="21"/>
                <w:szCs w:val="21"/>
              </w:rPr>
            </w:pPr>
            <w:r>
              <w:rPr>
                <w:rFonts w:hint="eastAsia" w:ascii="宋体" w:hAnsi="宋体" w:eastAsia="宋体" w:cs="宋体"/>
                <w:b/>
                <w:bCs/>
                <w:color w:val="000000"/>
                <w:kern w:val="0"/>
                <w:sz w:val="21"/>
                <w:szCs w:val="21"/>
                <w:lang w:bidi="ar"/>
              </w:rPr>
              <w:t>28,460.59</w:t>
            </w:r>
          </w:p>
        </w:tc>
        <w:tc>
          <w:tcPr>
            <w:tcW w:w="7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kern w:val="0"/>
                <w:sz w:val="21"/>
                <w:szCs w:val="21"/>
                <w:lang w:bidi="ar"/>
              </w:rPr>
              <w:t>90.16%</w:t>
            </w:r>
          </w:p>
        </w:tc>
      </w:tr>
    </w:tbl>
    <w:p>
      <w:pPr>
        <w:pStyle w:val="3"/>
        <w:keepNext w:val="0"/>
        <w:keepLines w:val="0"/>
        <w:spacing w:before="217" w:beforeLines="50"/>
        <w:ind w:firstLine="640"/>
      </w:pPr>
      <w:bookmarkStart w:id="24" w:name="_Toc1626104804"/>
      <w:bookmarkStart w:id="25" w:name="_Toc1609725349"/>
      <w:bookmarkStart w:id="26" w:name="_Toc103094546"/>
      <w:bookmarkStart w:id="27" w:name="_Toc103096313"/>
      <w:bookmarkStart w:id="28" w:name="_Toc1438030348"/>
      <w:r>
        <w:rPr>
          <w:rFonts w:hint="eastAsia"/>
        </w:rPr>
        <w:t>（二）项目绩效目标</w:t>
      </w:r>
      <w:bookmarkEnd w:id="23"/>
      <w:bookmarkEnd w:id="24"/>
      <w:bookmarkEnd w:id="25"/>
      <w:bookmarkEnd w:id="26"/>
      <w:bookmarkEnd w:id="27"/>
      <w:bookmarkEnd w:id="28"/>
    </w:p>
    <w:p>
      <w:pPr>
        <w:pStyle w:val="4"/>
        <w:keepNext w:val="0"/>
        <w:keepLines w:val="0"/>
        <w:ind w:firstLine="643"/>
      </w:pPr>
      <w:bookmarkStart w:id="29" w:name="_Toc103094547"/>
      <w:bookmarkStart w:id="30" w:name="_Toc26850"/>
      <w:bookmarkStart w:id="31" w:name="_Toc515586348"/>
      <w:bookmarkStart w:id="32" w:name="_Toc169183188"/>
      <w:r>
        <w:rPr>
          <w:rFonts w:hint="eastAsia"/>
        </w:rPr>
        <w:t>1.总体目标</w:t>
      </w:r>
      <w:bookmarkEnd w:id="29"/>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（1）通过对入住养老机构的</w:t>
      </w:r>
      <w:r>
        <w:rPr>
          <w:rFonts w:hint="eastAsia" w:ascii="Times New Roman Regular" w:hAnsi="Times New Roman Regular" w:cs="Times New Roman Regular"/>
          <w:bCs/>
          <w:lang w:eastAsia="zh-CN"/>
        </w:rPr>
        <w:t>老年人给予不同标准的养老机构运营补贴</w:t>
      </w:r>
      <w:r>
        <w:rPr>
          <w:rFonts w:hint="eastAsia" w:ascii="Times New Roman Regular" w:hAnsi="Times New Roman Regular" w:cs="Times New Roman Regular"/>
          <w:bCs/>
          <w:lang w:eastAsia="zh-Hans"/>
        </w:rPr>
        <w:t>，扶持养老机构发展，促进养老服务质量提升，推进养老服务保障体系建设，不断提高老年人的获得感。</w:t>
      </w:r>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（2）通过有效落实国家及市纾困政策</w:t>
      </w:r>
      <w:r>
        <w:rPr>
          <w:rFonts w:ascii="Times New Roman Regular" w:hAnsi="Times New Roman Regular" w:cs="Times New Roman Regular"/>
          <w:bCs/>
          <w:lang w:eastAsia="zh-Hans"/>
        </w:rPr>
        <w:t>，</w:t>
      </w:r>
      <w:r>
        <w:rPr>
          <w:rFonts w:hint="eastAsia" w:ascii="Times New Roman Regular" w:hAnsi="Times New Roman Regular" w:cs="Times New Roman Regular"/>
          <w:bCs/>
          <w:lang w:eastAsia="zh-Hans"/>
        </w:rPr>
        <w:t>减轻疫情对养老服务机构运营影响</w:t>
      </w:r>
      <w:r>
        <w:rPr>
          <w:rFonts w:ascii="Times New Roman Regular" w:hAnsi="Times New Roman Regular" w:cs="Times New Roman Regular"/>
          <w:bCs/>
          <w:lang w:eastAsia="zh-Hans"/>
        </w:rPr>
        <w:t>，</w:t>
      </w:r>
      <w:r>
        <w:rPr>
          <w:rFonts w:hint="eastAsia" w:ascii="Times New Roman Regular" w:hAnsi="Times New Roman Regular" w:cs="Times New Roman Regular"/>
          <w:bCs/>
          <w:lang w:eastAsia="zh-Hans"/>
        </w:rPr>
        <w:t>帮助养老机构共渡难关和稳定发展。</w:t>
      </w:r>
      <w:bookmarkStart w:id="33" w:name="_Toc103094548"/>
    </w:p>
    <w:p>
      <w:pPr>
        <w:pStyle w:val="4"/>
        <w:ind w:firstLine="643"/>
      </w:pPr>
      <w:r>
        <w:rPr>
          <w:rFonts w:hint="eastAsia"/>
        </w:rPr>
        <w:t>2</w:t>
      </w:r>
      <w:r>
        <w:t>.</w:t>
      </w:r>
      <w:r>
        <w:rPr>
          <w:rFonts w:hint="eastAsia"/>
        </w:rPr>
        <w:t>绩效指标</w:t>
      </w:r>
      <w:bookmarkEnd w:id="33"/>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市民政局根据项目年度总体目标</w:t>
      </w:r>
      <w:r>
        <w:rPr>
          <w:rFonts w:ascii="Times New Roman Regular" w:hAnsi="Times New Roman Regular" w:cs="Times New Roman Regular"/>
          <w:bCs/>
          <w:lang w:eastAsia="zh-Hans"/>
        </w:rPr>
        <w:t>，</w:t>
      </w:r>
      <w:r>
        <w:rPr>
          <w:rFonts w:hint="eastAsia" w:ascii="Times New Roman Regular" w:hAnsi="Times New Roman Regular" w:cs="Times New Roman Regular"/>
          <w:bCs/>
          <w:lang w:eastAsia="zh-Hans"/>
        </w:rPr>
        <w:t>分别细化了“社会办养老机构床位运营补贴”及“疫情防控期间提高养老机构运营补贴”的产出数量、产出质量、产出进度、产出成本和效益指标，并设置了服务对象满意度指标。具体项目绩效指标设定情况如下：</w:t>
      </w:r>
    </w:p>
    <w:p>
      <w:pPr>
        <w:keepNext/>
        <w:topLinePunct/>
        <w:adjustRightInd w:val="0"/>
        <w:snapToGrid w:val="0"/>
        <w:spacing w:after="217" w:afterLines="50" w:line="240" w:lineRule="auto"/>
        <w:ind w:firstLine="0" w:firstLineChars="0"/>
        <w:jc w:val="center"/>
        <w:rPr>
          <w:rFonts w:eastAsia="黑体" w:cs="Times New Roman"/>
          <w:sz w:val="28"/>
          <w:szCs w:val="28"/>
        </w:rPr>
      </w:pPr>
      <w:r>
        <w:rPr>
          <w:rFonts w:eastAsia="黑体" w:cs="Times New Roman"/>
          <w:sz w:val="28"/>
          <w:szCs w:val="28"/>
        </w:rPr>
        <w:t xml:space="preserve">表3  </w:t>
      </w:r>
      <w:r>
        <w:rPr>
          <w:rFonts w:hint="eastAsia" w:eastAsia="黑体" w:cs="Times New Roman"/>
          <w:sz w:val="28"/>
          <w:szCs w:val="28"/>
        </w:rPr>
        <w:t>社会办养老机构床位运营补贴</w:t>
      </w:r>
      <w:r>
        <w:rPr>
          <w:rFonts w:eastAsia="黑体" w:cs="Times New Roman"/>
          <w:sz w:val="28"/>
          <w:szCs w:val="28"/>
        </w:rPr>
        <w:t>绩效指标情况表</w:t>
      </w:r>
    </w:p>
    <w:tbl>
      <w:tblPr>
        <w:tblStyle w:val="20"/>
        <w:tblW w:w="4997" w:type="pct"/>
        <w:tblInd w:w="0" w:type="dxa"/>
        <w:tblLayout w:type="autofit"/>
        <w:tblCellMar>
          <w:top w:w="0" w:type="dxa"/>
          <w:left w:w="108" w:type="dxa"/>
          <w:bottom w:w="0" w:type="dxa"/>
          <w:right w:w="108" w:type="dxa"/>
        </w:tblCellMar>
      </w:tblPr>
      <w:tblGrid>
        <w:gridCol w:w="1108"/>
        <w:gridCol w:w="1489"/>
        <w:gridCol w:w="4088"/>
        <w:gridCol w:w="2371"/>
      </w:tblGrid>
      <w:tr>
        <w:tblPrEx>
          <w:tblCellMar>
            <w:top w:w="0" w:type="dxa"/>
            <w:left w:w="108" w:type="dxa"/>
            <w:bottom w:w="0" w:type="dxa"/>
            <w:right w:w="108" w:type="dxa"/>
          </w:tblCellMar>
        </w:tblPrEx>
        <w:trPr>
          <w:trHeight w:val="397" w:hRule="atLeast"/>
          <w:tblHeader/>
        </w:trPr>
        <w:tc>
          <w:tcPr>
            <w:tcW w:w="61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widowControl/>
              <w:spacing w:line="300" w:lineRule="exact"/>
              <w:ind w:firstLine="0" w:firstLineChars="0"/>
              <w:jc w:val="center"/>
              <w:textAlignment w:val="center"/>
              <w:rPr>
                <w:rFonts w:ascii="宋体" w:hAnsi="宋体" w:eastAsia="宋体" w:cs="宋体"/>
                <w:color w:val="000000"/>
                <w:kern w:val="0"/>
                <w:sz w:val="24"/>
                <w:lang w:bidi="ar"/>
              </w:rPr>
            </w:pPr>
            <w:bookmarkStart w:id="34" w:name="_Toc654955737"/>
            <w:bookmarkStart w:id="35" w:name="_Toc103094549"/>
            <w:bookmarkStart w:id="36" w:name="_Toc103096314"/>
            <w:r>
              <w:rPr>
                <w:rFonts w:hint="eastAsia" w:ascii="宋体" w:hAnsi="宋体" w:eastAsia="宋体" w:cs="宋体"/>
                <w:color w:val="000000"/>
                <w:kern w:val="0"/>
                <w:sz w:val="24"/>
                <w:lang w:bidi="ar"/>
              </w:rPr>
              <w:t>一级</w:t>
            </w:r>
          </w:p>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指标</w:t>
            </w:r>
          </w:p>
        </w:tc>
        <w:tc>
          <w:tcPr>
            <w:tcW w:w="82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二级指标</w:t>
            </w:r>
          </w:p>
        </w:tc>
        <w:tc>
          <w:tcPr>
            <w:tcW w:w="22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三级指标</w:t>
            </w:r>
          </w:p>
        </w:tc>
        <w:tc>
          <w:tcPr>
            <w:tcW w:w="131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指标值</w:t>
            </w:r>
          </w:p>
        </w:tc>
      </w:tr>
      <w:tr>
        <w:tblPrEx>
          <w:tblCellMar>
            <w:top w:w="0" w:type="dxa"/>
            <w:left w:w="108" w:type="dxa"/>
            <w:bottom w:w="0" w:type="dxa"/>
            <w:right w:w="108" w:type="dxa"/>
          </w:tblCellMar>
        </w:tblPrEx>
        <w:trPr>
          <w:trHeight w:val="397" w:hRule="atLeast"/>
        </w:trPr>
        <w:tc>
          <w:tcPr>
            <w:tcW w:w="6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标</w:t>
            </w:r>
          </w:p>
        </w:tc>
        <w:tc>
          <w:tcPr>
            <w:tcW w:w="8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数量指标</w:t>
            </w: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运营补贴资金拨付对象</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16区</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自理老年人</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&gt;8700人 </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失能老年人</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&gt;22000人</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失智老年人</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&gt;7700人</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质量指标</w:t>
            </w: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补贴机构</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服务质量得到提升</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补贴完成率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补贴发放的精准性及资金使用管理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符合本市有关规定</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进度指标</w:t>
            </w: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补贴资金发放进度</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2022年9月底</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成本指标</w:t>
            </w: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补贴金额</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24567.781万元</w:t>
            </w:r>
          </w:p>
        </w:tc>
      </w:tr>
      <w:tr>
        <w:tblPrEx>
          <w:tblCellMar>
            <w:top w:w="0" w:type="dxa"/>
            <w:left w:w="108" w:type="dxa"/>
            <w:bottom w:w="0" w:type="dxa"/>
            <w:right w:w="108" w:type="dxa"/>
          </w:tblCellMar>
        </w:tblPrEx>
        <w:trPr>
          <w:trHeight w:val="397" w:hRule="atLeast"/>
        </w:trPr>
        <w:tc>
          <w:tcPr>
            <w:tcW w:w="6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标</w:t>
            </w:r>
          </w:p>
        </w:tc>
        <w:tc>
          <w:tcPr>
            <w:tcW w:w="8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效益指标</w:t>
            </w: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养老机构入住率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得到提升</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养老机构获得服务质量星级评定率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得到提升</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养老机构医养结合率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有所提升</w:t>
            </w:r>
          </w:p>
        </w:tc>
      </w:tr>
      <w:tr>
        <w:tblPrEx>
          <w:tblCellMar>
            <w:top w:w="0" w:type="dxa"/>
            <w:left w:w="108" w:type="dxa"/>
            <w:bottom w:w="0" w:type="dxa"/>
            <w:right w:w="108" w:type="dxa"/>
          </w:tblCellMar>
        </w:tblPrEx>
        <w:trPr>
          <w:trHeight w:val="397" w:hRule="atLeast"/>
        </w:trPr>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8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服务对象满意度指标</w:t>
            </w:r>
          </w:p>
        </w:tc>
        <w:tc>
          <w:tcPr>
            <w:tcW w:w="22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入住老年人对养老机构满意度</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≥85%</w:t>
            </w:r>
          </w:p>
        </w:tc>
      </w:tr>
    </w:tbl>
    <w:p>
      <w:pPr>
        <w:topLinePunct/>
        <w:adjustRightInd w:val="0"/>
        <w:snapToGrid w:val="0"/>
        <w:spacing w:before="217" w:beforeLines="50" w:after="217" w:afterLines="50"/>
        <w:ind w:firstLine="0" w:firstLineChars="0"/>
        <w:jc w:val="center"/>
        <w:rPr>
          <w:rFonts w:eastAsia="黑体" w:cs="Times New Roman"/>
          <w:sz w:val="28"/>
          <w:szCs w:val="28"/>
        </w:rPr>
      </w:pPr>
      <w:r>
        <w:rPr>
          <w:rFonts w:eastAsia="黑体" w:cs="Times New Roman"/>
          <w:sz w:val="28"/>
          <w:szCs w:val="28"/>
        </w:rPr>
        <w:t xml:space="preserve">表4  </w:t>
      </w:r>
      <w:r>
        <w:rPr>
          <w:rFonts w:hint="eastAsia" w:eastAsia="黑体" w:cs="Times New Roman"/>
          <w:sz w:val="28"/>
          <w:szCs w:val="28"/>
        </w:rPr>
        <w:t>疫情防控期间提高养老机构运营补贴</w:t>
      </w:r>
      <w:r>
        <w:rPr>
          <w:rFonts w:eastAsia="黑体" w:cs="Times New Roman"/>
          <w:sz w:val="28"/>
          <w:szCs w:val="28"/>
        </w:rPr>
        <w:t>绩效指标情况表</w:t>
      </w:r>
    </w:p>
    <w:tbl>
      <w:tblPr>
        <w:tblStyle w:val="20"/>
        <w:tblW w:w="4997" w:type="pct"/>
        <w:tblInd w:w="0" w:type="dxa"/>
        <w:tblLayout w:type="autofit"/>
        <w:tblCellMar>
          <w:top w:w="0" w:type="dxa"/>
          <w:left w:w="108" w:type="dxa"/>
          <w:bottom w:w="0" w:type="dxa"/>
          <w:right w:w="108" w:type="dxa"/>
        </w:tblCellMar>
      </w:tblPr>
      <w:tblGrid>
        <w:gridCol w:w="1107"/>
        <w:gridCol w:w="1795"/>
        <w:gridCol w:w="3781"/>
        <w:gridCol w:w="2373"/>
      </w:tblGrid>
      <w:tr>
        <w:tblPrEx>
          <w:tblCellMar>
            <w:top w:w="0" w:type="dxa"/>
            <w:left w:w="108" w:type="dxa"/>
            <w:bottom w:w="0" w:type="dxa"/>
            <w:right w:w="108" w:type="dxa"/>
          </w:tblCellMar>
        </w:tblPrEx>
        <w:trPr>
          <w:trHeight w:val="397" w:hRule="atLeast"/>
          <w:tblHeader/>
        </w:trPr>
        <w:tc>
          <w:tcPr>
            <w:tcW w:w="611" w:type="pc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300" w:lineRule="exact"/>
              <w:ind w:firstLine="0" w:firstLineChars="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一级</w:t>
            </w:r>
          </w:p>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指标</w:t>
            </w:r>
          </w:p>
        </w:tc>
        <w:tc>
          <w:tcPr>
            <w:tcW w:w="991" w:type="pc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二级指标</w:t>
            </w:r>
          </w:p>
        </w:tc>
        <w:tc>
          <w:tcPr>
            <w:tcW w:w="2087" w:type="pc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三级指标</w:t>
            </w:r>
          </w:p>
        </w:tc>
        <w:tc>
          <w:tcPr>
            <w:tcW w:w="1310" w:type="pc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指标值</w:t>
            </w:r>
          </w:p>
        </w:tc>
      </w:tr>
      <w:tr>
        <w:tblPrEx>
          <w:tblCellMar>
            <w:top w:w="0" w:type="dxa"/>
            <w:left w:w="108" w:type="dxa"/>
            <w:bottom w:w="0" w:type="dxa"/>
            <w:right w:w="108" w:type="dxa"/>
          </w:tblCellMar>
        </w:tblPrEx>
        <w:trPr>
          <w:trHeight w:val="537" w:hRule="atLeast"/>
        </w:trPr>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标</w:t>
            </w:r>
          </w:p>
        </w:tc>
        <w:tc>
          <w:tcPr>
            <w:tcW w:w="9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数量指标</w:t>
            </w:r>
          </w:p>
        </w:tc>
        <w:tc>
          <w:tcPr>
            <w:tcW w:w="20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享受疫情补贴养老机构的累计数</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实有机构数</w:t>
            </w:r>
          </w:p>
        </w:tc>
      </w:tr>
      <w:tr>
        <w:tblPrEx>
          <w:tblCellMar>
            <w:top w:w="0" w:type="dxa"/>
            <w:left w:w="108" w:type="dxa"/>
            <w:bottom w:w="0" w:type="dxa"/>
            <w:right w:w="108" w:type="dxa"/>
          </w:tblCellMar>
        </w:tblPrEx>
        <w:trPr>
          <w:trHeight w:val="522" w:hRule="atLeast"/>
        </w:trPr>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9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质量指标</w:t>
            </w:r>
          </w:p>
        </w:tc>
        <w:tc>
          <w:tcPr>
            <w:tcW w:w="20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疫情补贴资金足额拨付率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477" w:hRule="atLeast"/>
        </w:trPr>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9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20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疫情补贴标准按规定执行率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567" w:hRule="atLeast"/>
        </w:trPr>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rPr>
                <w:rFonts w:ascii="宋体" w:hAnsi="宋体" w:eastAsia="宋体" w:cs="宋体"/>
                <w:color w:val="000000"/>
                <w:sz w:val="24"/>
              </w:rPr>
            </w:pPr>
          </w:p>
        </w:tc>
        <w:tc>
          <w:tcPr>
            <w:tcW w:w="9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进度指标</w:t>
            </w:r>
          </w:p>
        </w:tc>
        <w:tc>
          <w:tcPr>
            <w:tcW w:w="20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疫情补贴保障经费及时拨付率</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397" w:hRule="atLeast"/>
        </w:trPr>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效益</w:t>
            </w:r>
          </w:p>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指标</w:t>
            </w:r>
          </w:p>
        </w:tc>
        <w:tc>
          <w:tcPr>
            <w:tcW w:w="9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社会效益指标</w:t>
            </w:r>
          </w:p>
        </w:tc>
        <w:tc>
          <w:tcPr>
            <w:tcW w:w="20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养老服务机构运营难改善情况</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有效改善</w:t>
            </w:r>
          </w:p>
        </w:tc>
      </w:tr>
    </w:tbl>
    <w:p>
      <w:pPr>
        <w:pStyle w:val="2"/>
        <w:spacing w:before="217" w:beforeLines="50" w:line="560" w:lineRule="exact"/>
        <w:ind w:firstLine="640"/>
        <w:rPr>
          <w:rFonts w:ascii="黑体" w:hAnsi="黑体" w:eastAsia="黑体" w:cs="黑体"/>
          <w:b w:val="0"/>
          <w:bCs w:val="0"/>
          <w:szCs w:val="32"/>
        </w:rPr>
      </w:pPr>
      <w:bookmarkStart w:id="37" w:name="_Toc1066549106"/>
      <w:bookmarkStart w:id="38" w:name="_Toc1195095498"/>
      <w:r>
        <w:rPr>
          <w:rFonts w:hint="eastAsia" w:ascii="黑体" w:hAnsi="黑体" w:eastAsia="黑体" w:cs="黑体"/>
          <w:b w:val="0"/>
          <w:bCs w:val="0"/>
          <w:szCs w:val="32"/>
        </w:rPr>
        <w:t>二、绩效评价工作</w:t>
      </w:r>
      <w:bookmarkEnd w:id="30"/>
      <w:bookmarkEnd w:id="31"/>
      <w:r>
        <w:rPr>
          <w:rFonts w:hint="eastAsia" w:ascii="黑体" w:hAnsi="黑体" w:eastAsia="黑体" w:cs="黑体"/>
          <w:b w:val="0"/>
          <w:bCs w:val="0"/>
          <w:szCs w:val="32"/>
        </w:rPr>
        <w:t>开展情况</w:t>
      </w:r>
      <w:bookmarkEnd w:id="34"/>
      <w:bookmarkEnd w:id="35"/>
      <w:bookmarkEnd w:id="36"/>
      <w:bookmarkEnd w:id="37"/>
      <w:bookmarkEnd w:id="38"/>
    </w:p>
    <w:p>
      <w:pPr>
        <w:pStyle w:val="3"/>
        <w:ind w:firstLine="640"/>
      </w:pPr>
      <w:bookmarkStart w:id="39" w:name="_Toc515586349"/>
      <w:bookmarkStart w:id="40" w:name="_Toc12250"/>
      <w:bookmarkStart w:id="41" w:name="_Toc103094550"/>
      <w:bookmarkStart w:id="42" w:name="_Toc444823033"/>
      <w:bookmarkStart w:id="43" w:name="_Toc103096315"/>
      <w:bookmarkStart w:id="44" w:name="_Toc555484495"/>
      <w:bookmarkStart w:id="45" w:name="_Toc1987380884"/>
      <w:r>
        <w:rPr>
          <w:rFonts w:hint="eastAsia"/>
        </w:rPr>
        <w:t>（一）</w:t>
      </w:r>
      <w:bookmarkEnd w:id="39"/>
      <w:bookmarkEnd w:id="40"/>
      <w:r>
        <w:rPr>
          <w:rFonts w:hint="eastAsia"/>
        </w:rPr>
        <w:t>绩效评价目的、对象和范围</w:t>
      </w:r>
      <w:bookmarkEnd w:id="32"/>
      <w:bookmarkEnd w:id="41"/>
      <w:bookmarkEnd w:id="42"/>
      <w:bookmarkEnd w:id="43"/>
      <w:bookmarkEnd w:id="44"/>
      <w:bookmarkEnd w:id="45"/>
    </w:p>
    <w:p>
      <w:pPr>
        <w:pStyle w:val="4"/>
        <w:ind w:firstLine="643"/>
        <w:rPr>
          <w:lang w:eastAsia="zh-Hans"/>
        </w:rPr>
      </w:pPr>
      <w:bookmarkStart w:id="46" w:name="_Toc103094551"/>
      <w:r>
        <w:t>1</w:t>
      </w:r>
      <w:r>
        <w:rPr>
          <w:rFonts w:hint="eastAsia"/>
          <w:lang w:eastAsia="zh-Hans"/>
        </w:rPr>
        <w:t>.评价目的</w:t>
      </w:r>
      <w:bookmarkEnd w:id="46"/>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通过对项目经济性、效率性和效果性的分析，梳理总结项目决策、过程、产出、效益中存在的问题，为主管部门改进工作提供建议和依据，提高科学决策水平，促进市民政局</w:t>
      </w:r>
      <w:r>
        <w:rPr>
          <w:rFonts w:hint="eastAsia" w:ascii="Times New Roman Regular" w:hAnsi="Times New Roman Regular" w:cs="Times New Roman Regular"/>
          <w:bCs/>
        </w:rPr>
        <w:t>强化</w:t>
      </w:r>
      <w:r>
        <w:rPr>
          <w:rFonts w:hint="eastAsia" w:ascii="Times New Roman Regular" w:hAnsi="Times New Roman Regular" w:cs="Times New Roman Regular"/>
          <w:bCs/>
          <w:lang w:eastAsia="zh-Hans"/>
        </w:rPr>
        <w:t>绩效理念，规范项目管理，保障项目资金使用的规范性、安全性，提高财政资金投入</w:t>
      </w:r>
      <w:r>
        <w:rPr>
          <w:rFonts w:hint="eastAsia" w:ascii="Times New Roman Regular" w:hAnsi="Times New Roman Regular" w:cs="Times New Roman Regular"/>
          <w:bCs/>
        </w:rPr>
        <w:t>效益</w:t>
      </w:r>
      <w:r>
        <w:rPr>
          <w:rFonts w:hint="eastAsia" w:ascii="Times New Roman Regular" w:hAnsi="Times New Roman Regular" w:cs="Times New Roman Regular"/>
          <w:bCs/>
          <w:lang w:eastAsia="zh-Hans"/>
        </w:rPr>
        <w:t>。</w:t>
      </w:r>
    </w:p>
    <w:p>
      <w:pPr>
        <w:pStyle w:val="4"/>
        <w:ind w:firstLine="643"/>
      </w:pPr>
      <w:bookmarkStart w:id="47" w:name="_Toc103094552"/>
      <w:r>
        <w:rPr>
          <w:rFonts w:hint="eastAsia"/>
        </w:rPr>
        <w:t>2.评价依据</w:t>
      </w:r>
      <w:bookmarkEnd w:id="47"/>
    </w:p>
    <w:p>
      <w:pPr>
        <w:ind w:firstLine="640"/>
        <w:rPr>
          <w:rFonts w:hint="eastAsia" w:ascii="仿宋_GB2312" w:hAnsi="仿宋_GB2312" w:eastAsia="仿宋_GB2312" w:cs="仿宋_GB2312"/>
          <w:bCs/>
          <w:lang w:val="zh-TW" w:eastAsia="zh-Hans"/>
        </w:rPr>
      </w:pPr>
      <w:r>
        <w:rPr>
          <w:rFonts w:hint="eastAsia" w:ascii="仿宋_GB2312" w:hAnsi="仿宋_GB2312" w:eastAsia="仿宋_GB2312" w:cs="仿宋_GB2312"/>
          <w:bCs/>
          <w:lang w:eastAsia="zh-Hans"/>
        </w:rPr>
        <w:t>（1）</w:t>
      </w:r>
      <w:r>
        <w:rPr>
          <w:rFonts w:hint="eastAsia" w:ascii="仿宋_GB2312" w:hAnsi="仿宋_GB2312" w:eastAsia="仿宋_GB2312" w:cs="仿宋_GB2312"/>
          <w:bCs/>
          <w:lang w:val="zh-TW" w:eastAsia="zh-Hans"/>
        </w:rPr>
        <w:t>《北京市财政局关于2023年推进全面实施预算绩效管理工作的预通知》、《北京市项目支出绩效评价管理办法》（京财绩效发〔2020〕2146号）</w:t>
      </w:r>
      <w:r>
        <w:rPr>
          <w:rFonts w:hint="eastAsia" w:ascii="仿宋_GB2312" w:hAnsi="仿宋_GB2312" w:eastAsia="仿宋_GB2312" w:cs="仿宋_GB2312"/>
          <w:bCs/>
          <w:lang w:eastAsia="zh-Hans"/>
        </w:rPr>
        <w:t>、《北京市专项转移支付管理办法》（</w:t>
      </w:r>
      <w:r>
        <w:rPr>
          <w:rFonts w:hint="eastAsia" w:ascii="仿宋_GB2312" w:hAnsi="仿宋_GB2312" w:eastAsia="仿宋_GB2312" w:cs="仿宋_GB2312"/>
          <w:bCs/>
          <w:lang w:val="en" w:eastAsia="zh-Hans"/>
        </w:rPr>
        <w:t>京财</w:t>
      </w:r>
      <w:bookmarkStart w:id="48" w:name="zi"/>
      <w:r>
        <w:rPr>
          <w:rFonts w:hint="eastAsia" w:ascii="仿宋_GB2312" w:hAnsi="仿宋_GB2312" w:eastAsia="仿宋_GB2312" w:cs="仿宋_GB2312"/>
          <w:bCs/>
          <w:lang w:val="en" w:eastAsia="zh-Hans"/>
        </w:rPr>
        <w:t>预</w:t>
      </w:r>
      <w:bookmarkEnd w:id="48"/>
      <w:r>
        <w:rPr>
          <w:rFonts w:hint="eastAsia" w:ascii="仿宋_GB2312" w:hAnsi="仿宋_GB2312" w:eastAsia="仿宋_GB2312" w:cs="仿宋_GB2312"/>
          <w:bCs/>
          <w:lang w:val="en" w:eastAsia="zh-Hans"/>
        </w:rPr>
        <w:t>〔</w:t>
      </w:r>
      <w:bookmarkStart w:id="49" w:name="nian"/>
      <w:r>
        <w:rPr>
          <w:rFonts w:hint="eastAsia" w:ascii="仿宋_GB2312" w:hAnsi="仿宋_GB2312" w:eastAsia="仿宋_GB2312" w:cs="仿宋_GB2312"/>
          <w:bCs/>
          <w:lang w:val="en" w:eastAsia="zh-Hans"/>
        </w:rPr>
        <w:t>2016</w:t>
      </w:r>
      <w:bookmarkEnd w:id="49"/>
      <w:r>
        <w:rPr>
          <w:rFonts w:hint="eastAsia" w:ascii="仿宋_GB2312" w:hAnsi="仿宋_GB2312" w:eastAsia="仿宋_GB2312" w:cs="仿宋_GB2312"/>
          <w:bCs/>
          <w:lang w:val="en" w:eastAsia="zh-Hans"/>
        </w:rPr>
        <w:t>〕</w:t>
      </w:r>
      <w:bookmarkStart w:id="50" w:name="yibanfawen_hao"/>
      <w:r>
        <w:rPr>
          <w:rFonts w:hint="eastAsia" w:ascii="仿宋_GB2312" w:hAnsi="仿宋_GB2312" w:eastAsia="仿宋_GB2312" w:cs="仿宋_GB2312"/>
          <w:bCs/>
          <w:lang w:val="en" w:eastAsia="zh-Hans"/>
        </w:rPr>
        <w:t>947</w:t>
      </w:r>
      <w:bookmarkEnd w:id="50"/>
      <w:r>
        <w:rPr>
          <w:rFonts w:hint="eastAsia" w:ascii="仿宋_GB2312" w:hAnsi="仿宋_GB2312" w:eastAsia="仿宋_GB2312" w:cs="仿宋_GB2312"/>
          <w:bCs/>
          <w:lang w:val="en" w:eastAsia="zh-Hans"/>
        </w:rPr>
        <w:t>号</w:t>
      </w:r>
      <w:r>
        <w:rPr>
          <w:rFonts w:hint="eastAsia" w:ascii="仿宋_GB2312" w:hAnsi="仿宋_GB2312" w:eastAsia="仿宋_GB2312" w:cs="仿宋_GB2312"/>
          <w:bCs/>
          <w:lang w:eastAsia="zh-Hans"/>
        </w:rPr>
        <w:t>）、《关于修订北京市社会保障和就业专项转移支付资金管理办法的通知》（京财社〔2020〕452号）</w:t>
      </w:r>
      <w:r>
        <w:rPr>
          <w:rFonts w:hint="eastAsia" w:ascii="仿宋_GB2312" w:hAnsi="仿宋_GB2312" w:eastAsia="仿宋_GB2312" w:cs="仿宋_GB2312"/>
          <w:bCs/>
          <w:lang w:val="zh-TW" w:eastAsia="zh-Hans"/>
        </w:rPr>
        <w:t>以及北京市202</w:t>
      </w:r>
      <w:r>
        <w:rPr>
          <w:rFonts w:hint="eastAsia" w:ascii="仿宋_GB2312" w:hAnsi="仿宋_GB2312" w:eastAsia="仿宋_GB2312" w:cs="仿宋_GB2312"/>
          <w:bCs/>
          <w:lang w:eastAsia="zh-Hans"/>
        </w:rPr>
        <w:t>2</w:t>
      </w:r>
      <w:r>
        <w:rPr>
          <w:rFonts w:hint="eastAsia" w:ascii="仿宋_GB2312" w:hAnsi="仿宋_GB2312" w:eastAsia="仿宋_GB2312" w:cs="仿宋_GB2312"/>
          <w:bCs/>
          <w:lang w:val="zh-TW" w:eastAsia="zh-Hans"/>
        </w:rPr>
        <w:t>年度市级财政支出绩效评价的相关要求；</w:t>
      </w:r>
    </w:p>
    <w:p>
      <w:pPr>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lang w:val="zh-TW" w:eastAsia="zh-Hans"/>
        </w:rPr>
        <w:t>（2）相关行业政策、行业标准及专业技术规范；</w:t>
      </w:r>
    </w:p>
    <w:p>
      <w:pPr>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lang w:val="zh-TW" w:eastAsia="zh-Hans"/>
        </w:rPr>
        <w:t>（3）市区两级民政部门提供的项目资料。</w:t>
      </w:r>
    </w:p>
    <w:p>
      <w:pPr>
        <w:pStyle w:val="4"/>
        <w:ind w:firstLine="643"/>
      </w:pPr>
      <w:bookmarkStart w:id="51" w:name="_Toc103094553"/>
      <w:r>
        <w:rPr>
          <w:rFonts w:hint="eastAsia"/>
        </w:rPr>
        <w:t>3.评价对象和范围</w:t>
      </w:r>
      <w:bookmarkEnd w:id="51"/>
    </w:p>
    <w:p>
      <w:pPr>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lang w:eastAsia="zh-Hans"/>
        </w:rPr>
        <w:t>本次评价对象为2022</w:t>
      </w:r>
      <w:r>
        <w:rPr>
          <w:rFonts w:hint="eastAsia" w:ascii="仿宋_GB2312" w:hAnsi="仿宋_GB2312" w:eastAsia="仿宋_GB2312" w:cs="仿宋_GB2312"/>
          <w:bCs/>
        </w:rPr>
        <w:t>年</w:t>
      </w:r>
      <w:r>
        <w:rPr>
          <w:rFonts w:hint="eastAsia" w:ascii="仿宋_GB2312" w:hAnsi="仿宋_GB2312" w:eastAsia="仿宋_GB2312" w:cs="仿宋_GB2312"/>
          <w:bCs/>
          <w:lang w:eastAsia="zh-Hans"/>
        </w:rPr>
        <w:t>“社会办养老机构床位运营补贴”项目，</w:t>
      </w:r>
      <w:r>
        <w:rPr>
          <w:rFonts w:hint="eastAsia" w:ascii="仿宋_GB2312" w:hAnsi="仿宋_GB2312" w:eastAsia="仿宋_GB2312" w:cs="仿宋_GB2312"/>
          <w:bCs/>
        </w:rPr>
        <w:t>涉及市级预算资金</w:t>
      </w:r>
      <w:r>
        <w:rPr>
          <w:rFonts w:hint="eastAsia" w:ascii="仿宋_GB2312" w:hAnsi="仿宋_GB2312" w:eastAsia="仿宋_GB2312" w:cs="仿宋_GB2312"/>
          <w:bCs/>
          <w:lang w:eastAsia="zh-Hans"/>
        </w:rPr>
        <w:t>31,566.21万元。</w:t>
      </w:r>
    </w:p>
    <w:p>
      <w:pPr>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lang w:eastAsia="zh-Hans"/>
        </w:rPr>
        <w:t>本次评价从</w:t>
      </w:r>
      <w:r>
        <w:rPr>
          <w:rFonts w:hint="eastAsia" w:ascii="仿宋_GB2312" w:hAnsi="仿宋_GB2312" w:eastAsia="仿宋_GB2312" w:cs="仿宋_GB2312"/>
          <w:bCs/>
        </w:rPr>
        <w:t>项目立项的</w:t>
      </w:r>
      <w:r>
        <w:rPr>
          <w:rFonts w:hint="eastAsia" w:ascii="仿宋_GB2312" w:hAnsi="仿宋_GB2312" w:eastAsia="仿宋_GB2312" w:cs="仿宋_GB2312"/>
          <w:bCs/>
          <w:lang w:eastAsia="zh-Hans"/>
        </w:rPr>
        <w:t>必要性和项目实施的规范性出发，以结果为导向，重点关注项目预期产出和效果的实现程度，同时关注项目决策和</w:t>
      </w:r>
      <w:r>
        <w:rPr>
          <w:rFonts w:hint="eastAsia" w:ascii="仿宋_GB2312" w:hAnsi="仿宋_GB2312" w:eastAsia="仿宋_GB2312" w:cs="仿宋_GB2312"/>
          <w:bCs/>
        </w:rPr>
        <w:t>管理</w:t>
      </w:r>
      <w:r>
        <w:rPr>
          <w:rFonts w:hint="eastAsia" w:ascii="仿宋_GB2312" w:hAnsi="仿宋_GB2312" w:eastAsia="仿宋_GB2312" w:cs="仿宋_GB2312"/>
          <w:bCs/>
          <w:lang w:eastAsia="zh-Hans"/>
        </w:rPr>
        <w:t>的规范性和合理性。</w:t>
      </w:r>
    </w:p>
    <w:p>
      <w:pPr>
        <w:pStyle w:val="3"/>
        <w:ind w:firstLine="640"/>
        <w:rPr>
          <w:rFonts w:ascii="楷体" w:hAnsi="楷体" w:cs="宋体"/>
          <w:b/>
        </w:rPr>
      </w:pPr>
      <w:bookmarkStart w:id="52" w:name="_Toc750140424"/>
      <w:bookmarkStart w:id="53" w:name="_Toc2097355597"/>
      <w:bookmarkStart w:id="54" w:name="_Toc916493956"/>
      <w:bookmarkStart w:id="55" w:name="_Toc103096316"/>
      <w:bookmarkStart w:id="56" w:name="_Toc103094554"/>
      <w:r>
        <w:rPr>
          <w:rFonts w:hint="eastAsia" w:ascii="楷体" w:hAnsi="楷体" w:cs="宋体"/>
        </w:rPr>
        <w:t>（二）绩效评价原则方法</w:t>
      </w:r>
      <w:bookmarkEnd w:id="52"/>
      <w:bookmarkEnd w:id="53"/>
      <w:bookmarkEnd w:id="54"/>
      <w:bookmarkEnd w:id="55"/>
      <w:bookmarkEnd w:id="56"/>
    </w:p>
    <w:p>
      <w:pPr>
        <w:pStyle w:val="4"/>
        <w:ind w:firstLine="643"/>
      </w:pPr>
      <w:bookmarkStart w:id="57" w:name="_Toc103094555"/>
      <w:r>
        <w:rPr>
          <w:rFonts w:hint="eastAsia"/>
        </w:rPr>
        <w:t>1.评价原则及方法</w:t>
      </w:r>
      <w:bookmarkEnd w:id="57"/>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评价工作遵循“客观、公正、科学、规范”的原则，综合采用案卷分析、统计分析、因素分析、对比分析、专家评价等方法，对反映项目决策、过程、产出和效益等内容的资料和数据进行分析，梳理项目问题并分析成因，根据专家评议结果形成评价结论并提出建设性意见。</w:t>
      </w:r>
    </w:p>
    <w:p>
      <w:pPr>
        <w:pStyle w:val="4"/>
        <w:ind w:firstLine="643"/>
      </w:pPr>
      <w:bookmarkStart w:id="58" w:name="_Toc103094556"/>
      <w:r>
        <w:rPr>
          <w:rFonts w:hint="eastAsia"/>
        </w:rPr>
        <w:t>2.指标体系与评分标准</w:t>
      </w:r>
      <w:bookmarkEnd w:id="58"/>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评价工作组根据</w:t>
      </w:r>
      <w:r>
        <w:rPr>
          <w:rFonts w:hint="eastAsia" w:ascii="Times New Roman Regular" w:hAnsi="Times New Roman Regular" w:cs="Times New Roman Regular"/>
          <w:bCs/>
          <w:lang w:val="zh-TW" w:eastAsia="zh-Hans"/>
        </w:rPr>
        <w:t>《北京市项目支出绩效评价管理办法》（京财绩效〔2020〕2146号）</w:t>
      </w:r>
      <w:r>
        <w:rPr>
          <w:rFonts w:hint="eastAsia" w:ascii="Times New Roman Regular" w:hAnsi="Times New Roman Regular" w:cs="Times New Roman Regular"/>
          <w:bCs/>
          <w:lang w:eastAsia="zh-Hans"/>
        </w:rPr>
        <w:t>中的绩效评价指标体系框架制定该项目绩效评价指标体系，并根据指标的重要性与相关性确定权重，参考历史数据及绩效评价等级要求确定评分标准。</w:t>
      </w:r>
    </w:p>
    <w:p>
      <w:pPr>
        <w:pStyle w:val="3"/>
        <w:keepNext w:val="0"/>
        <w:keepLines w:val="0"/>
        <w:ind w:firstLine="640"/>
        <w:rPr>
          <w:rFonts w:ascii="楷体" w:hAnsi="楷体" w:cs="宋体"/>
          <w:b/>
        </w:rPr>
      </w:pPr>
      <w:bookmarkStart w:id="59" w:name="_Toc1881098278"/>
      <w:bookmarkStart w:id="60" w:name="_Toc1458936921"/>
      <w:bookmarkStart w:id="61" w:name="_Toc103094557"/>
      <w:bookmarkStart w:id="62" w:name="_Toc1761202208"/>
      <w:bookmarkStart w:id="63" w:name="_Toc103096317"/>
      <w:r>
        <w:rPr>
          <w:rFonts w:hint="eastAsia" w:ascii="楷体" w:hAnsi="楷体" w:cs="宋体"/>
        </w:rPr>
        <w:t>（三）绩效评价工作过程</w:t>
      </w:r>
      <w:bookmarkEnd w:id="59"/>
      <w:bookmarkEnd w:id="60"/>
      <w:bookmarkEnd w:id="61"/>
      <w:bookmarkEnd w:id="62"/>
      <w:bookmarkEnd w:id="63"/>
    </w:p>
    <w:p>
      <w:pPr>
        <w:pStyle w:val="4"/>
        <w:ind w:firstLine="643"/>
      </w:pPr>
      <w:bookmarkStart w:id="64" w:name="_Toc103094558"/>
      <w:r>
        <w:rPr>
          <w:rFonts w:hint="eastAsia"/>
        </w:rPr>
        <w:t>1.前期准备情况</w:t>
      </w:r>
      <w:bookmarkEnd w:id="64"/>
    </w:p>
    <w:p>
      <w:pPr>
        <w:ind w:firstLine="640"/>
        <w:rPr>
          <w:rFonts w:hint="eastAsia" w:ascii="Times New Roman Regular" w:hAnsi="Times New Roman Regular" w:cs="Times New Roman Regular"/>
          <w:bCs/>
          <w:lang w:eastAsia="zh-Hans"/>
        </w:rPr>
      </w:pPr>
      <w:r>
        <w:rPr>
          <w:rFonts w:hint="eastAsia" w:ascii="Times New Roman Regular" w:hAnsi="Times New Roman Regular" w:cs="Times New Roman Regular"/>
          <w:bCs/>
          <w:lang w:eastAsia="zh-Hans"/>
        </w:rPr>
        <w:t>评价机构受市民政局委托组建评价工作组，对该项目进行绩效评价。工作组进行了内部培训，邀请绩效管理专家作为全程专家，对评价工作进行全过程指导，与市民政局建立沟通协调工作机制、了解项目情况并进行针对性培训。</w:t>
      </w:r>
    </w:p>
    <w:p>
      <w:pPr>
        <w:pStyle w:val="4"/>
        <w:ind w:firstLine="643"/>
      </w:pPr>
      <w:bookmarkStart w:id="65" w:name="_Toc103094559"/>
      <w:r>
        <w:rPr>
          <w:rFonts w:hint="eastAsia"/>
        </w:rPr>
        <w:t>2.资料信息汇总</w:t>
      </w:r>
      <w:bookmarkEnd w:id="65"/>
    </w:p>
    <w:p>
      <w:pPr>
        <w:ind w:firstLine="640"/>
      </w:pPr>
      <w:r>
        <w:rPr>
          <w:rFonts w:hint="eastAsia"/>
        </w:rPr>
        <w:t>根据绩效评价要求收集相应资料，围绕项目决策、过程、产出和效益进行资料梳理，对资料真实性进行审核，对存疑情况与市</w:t>
      </w:r>
      <w:r>
        <w:rPr>
          <w:rFonts w:hint="eastAsia"/>
          <w:lang w:eastAsia="zh-Hans"/>
        </w:rPr>
        <w:t>民政局</w:t>
      </w:r>
      <w:r>
        <w:rPr>
          <w:rFonts w:hint="eastAsia"/>
        </w:rPr>
        <w:t>进行沟通确认。</w:t>
      </w:r>
    </w:p>
    <w:p>
      <w:pPr>
        <w:numPr>
          <w:ilvl w:val="0"/>
          <w:numId w:val="1"/>
        </w:numPr>
        <w:ind w:firstLine="643"/>
        <w:rPr>
          <w:b/>
          <w:bCs/>
          <w:szCs w:val="32"/>
          <w:lang w:eastAsia="zh-Hans"/>
        </w:rPr>
      </w:pPr>
      <w:r>
        <w:rPr>
          <w:rFonts w:hint="eastAsia"/>
          <w:b/>
          <w:bCs/>
          <w:szCs w:val="32"/>
          <w:lang w:eastAsia="zh-Hans"/>
        </w:rPr>
        <w:t>现场调研</w:t>
      </w:r>
    </w:p>
    <w:p>
      <w:pPr>
        <w:ind w:firstLine="640"/>
        <w:rPr>
          <w:lang w:eastAsia="zh-Hans"/>
        </w:rPr>
      </w:pPr>
      <w:r>
        <w:rPr>
          <w:rFonts w:hint="eastAsia"/>
          <w:lang w:eastAsia="zh-Hans"/>
        </w:rPr>
        <w:t>评价</w:t>
      </w:r>
      <w:r>
        <w:rPr>
          <w:rFonts w:hint="eastAsia"/>
        </w:rPr>
        <w:t>工作组</w:t>
      </w:r>
      <w:r>
        <w:rPr>
          <w:rFonts w:hint="eastAsia"/>
          <w:lang w:eastAsia="zh-Hans"/>
        </w:rPr>
        <w:t>前往市</w:t>
      </w:r>
      <w:r>
        <w:rPr>
          <w:rFonts w:hint="eastAsia"/>
        </w:rPr>
        <w:t>区两级民政部门开展现场调研，</w:t>
      </w:r>
      <w:r>
        <w:rPr>
          <w:rFonts w:hint="eastAsia"/>
          <w:lang w:eastAsia="zh-Hans"/>
        </w:rPr>
        <w:t>对享受运营补贴的养老机构开展线上调研</w:t>
      </w:r>
      <w:r>
        <w:rPr>
          <w:lang w:eastAsia="zh-Hans"/>
        </w:rPr>
        <w:t>，</w:t>
      </w:r>
      <w:r>
        <w:rPr>
          <w:rFonts w:hint="eastAsia"/>
        </w:rPr>
        <w:t>调研</w:t>
      </w:r>
      <w:r>
        <w:rPr>
          <w:rFonts w:hint="eastAsia"/>
          <w:lang w:eastAsia="zh-Hans"/>
        </w:rPr>
        <w:t>工作</w:t>
      </w:r>
      <w:r>
        <w:rPr>
          <w:rFonts w:hint="eastAsia"/>
        </w:rPr>
        <w:t>包含座谈和资料查阅。通过与项目相关</w:t>
      </w:r>
      <w:r>
        <w:rPr>
          <w:rFonts w:hint="eastAsia"/>
          <w:lang w:eastAsia="zh-Hans"/>
        </w:rPr>
        <w:t>处</w:t>
      </w:r>
      <w:r>
        <w:rPr>
          <w:lang w:eastAsia="zh-Hans"/>
        </w:rPr>
        <w:t>/</w:t>
      </w:r>
      <w:r>
        <w:rPr>
          <w:rFonts w:hint="eastAsia"/>
        </w:rPr>
        <w:t>科室</w:t>
      </w:r>
      <w:r>
        <w:rPr>
          <w:rFonts w:hint="eastAsia"/>
          <w:lang w:eastAsia="zh-Hans"/>
        </w:rPr>
        <w:t>及</w:t>
      </w:r>
      <w:r>
        <w:rPr>
          <w:rFonts w:hint="eastAsia"/>
        </w:rPr>
        <w:t>项目相关负责人沟通，查阅项目资料，充分掌握项目资金的使用情况、组织管理情况以及完成情况，作为资料评价形式的补充，为本次绩效评价提供充分依据。</w:t>
      </w:r>
    </w:p>
    <w:p>
      <w:pPr>
        <w:numPr>
          <w:ilvl w:val="0"/>
          <w:numId w:val="1"/>
        </w:numPr>
        <w:ind w:firstLine="643"/>
        <w:rPr>
          <w:b/>
          <w:bCs/>
          <w:szCs w:val="32"/>
          <w:lang w:eastAsia="zh-Hans"/>
        </w:rPr>
      </w:pPr>
      <w:bookmarkStart w:id="66" w:name="_Toc103094560"/>
      <w:r>
        <w:rPr>
          <w:rFonts w:hint="eastAsia"/>
          <w:b/>
          <w:bCs/>
          <w:szCs w:val="32"/>
          <w:lang w:eastAsia="zh-Hans"/>
        </w:rPr>
        <w:t>评价分析</w:t>
      </w:r>
      <w:bookmarkEnd w:id="66"/>
    </w:p>
    <w:p>
      <w:pPr>
        <w:ind w:firstLine="640"/>
      </w:pPr>
      <w:r>
        <w:rPr>
          <w:rFonts w:hint="eastAsia"/>
        </w:rPr>
        <w:t>评价工作组综合采用案卷分析、统计分析、因素分析、对比分析、专家评</w:t>
      </w:r>
      <w:r>
        <w:rPr>
          <w:rFonts w:hint="eastAsia"/>
          <w:lang w:val="en-US" w:eastAsia="zh-Hans"/>
        </w:rPr>
        <w:t>价</w:t>
      </w:r>
      <w:r>
        <w:rPr>
          <w:rFonts w:hint="eastAsia"/>
        </w:rPr>
        <w:t>等方法，围绕项目决策、过程、产出和效益进行初步分析，梳理项目存在问题。</w:t>
      </w:r>
    </w:p>
    <w:p>
      <w:pPr>
        <w:numPr>
          <w:ilvl w:val="0"/>
          <w:numId w:val="1"/>
        </w:numPr>
        <w:ind w:firstLine="643"/>
        <w:rPr>
          <w:b/>
          <w:bCs/>
          <w:szCs w:val="32"/>
          <w:lang w:eastAsia="zh-Hans"/>
        </w:rPr>
      </w:pPr>
      <w:bookmarkStart w:id="67" w:name="_Toc103094561"/>
      <w:r>
        <w:rPr>
          <w:rFonts w:hint="eastAsia"/>
          <w:b/>
          <w:bCs/>
          <w:szCs w:val="32"/>
          <w:lang w:eastAsia="zh-Hans"/>
        </w:rPr>
        <w:t>专家评议</w:t>
      </w:r>
      <w:bookmarkEnd w:id="67"/>
    </w:p>
    <w:p>
      <w:pPr>
        <w:ind w:firstLine="640"/>
        <w:rPr>
          <w:b/>
        </w:rPr>
      </w:pPr>
      <w:r>
        <w:rPr>
          <w:rFonts w:hint="eastAsia"/>
        </w:rPr>
        <w:t>组织召开专家预</w:t>
      </w:r>
      <w:r>
        <w:rPr>
          <w:rFonts w:hint="eastAsia"/>
          <w:lang w:eastAsia="zh-Hans"/>
        </w:rPr>
        <w:t>评价</w:t>
      </w:r>
      <w:r>
        <w:rPr>
          <w:rFonts w:hint="eastAsia"/>
        </w:rPr>
        <w:t>会，形成《专家预评价意见反馈暨补充资料清单》；根据项目实际情况，细化调整评价指标体系，明确指标权重和评分标准；组织召开专家评价会，听取</w:t>
      </w:r>
      <w:r>
        <w:rPr>
          <w:rFonts w:hint="eastAsia"/>
          <w:lang w:eastAsia="zh-Hans"/>
        </w:rPr>
        <w:t>市民政局养老工作处</w:t>
      </w:r>
      <w:r>
        <w:rPr>
          <w:rFonts w:hint="eastAsia"/>
        </w:rPr>
        <w:t>汇报</w:t>
      </w:r>
      <w:r>
        <w:rPr>
          <w:rFonts w:hint="eastAsia"/>
          <w:lang w:eastAsia="zh-Hans"/>
        </w:rPr>
        <w:t>项目</w:t>
      </w:r>
      <w:r>
        <w:rPr>
          <w:rFonts w:hint="eastAsia"/>
        </w:rPr>
        <w:t>绩效</w:t>
      </w:r>
      <w:r>
        <w:rPr>
          <w:rFonts w:hint="eastAsia"/>
          <w:lang w:eastAsia="zh-Hans"/>
        </w:rPr>
        <w:t>情况</w:t>
      </w:r>
      <w:r>
        <w:rPr>
          <w:rFonts w:hint="eastAsia"/>
        </w:rPr>
        <w:t>，由专家组就项目存在的问题与项目负责人进行沟通，形成绩效评价结论。</w:t>
      </w:r>
    </w:p>
    <w:p>
      <w:pPr>
        <w:numPr>
          <w:ilvl w:val="0"/>
          <w:numId w:val="1"/>
        </w:numPr>
        <w:ind w:firstLine="643"/>
        <w:rPr>
          <w:b/>
          <w:bCs/>
          <w:szCs w:val="32"/>
          <w:lang w:eastAsia="zh-Hans"/>
        </w:rPr>
      </w:pPr>
      <w:bookmarkStart w:id="68" w:name="_Toc103094562"/>
      <w:r>
        <w:rPr>
          <w:rFonts w:hint="eastAsia"/>
          <w:b/>
          <w:bCs/>
          <w:szCs w:val="32"/>
          <w:lang w:eastAsia="zh-Hans"/>
        </w:rPr>
        <w:t>出具报告</w:t>
      </w:r>
      <w:bookmarkEnd w:id="68"/>
      <w:bookmarkStart w:id="69" w:name="_Toc515586351"/>
    </w:p>
    <w:p>
      <w:pPr>
        <w:ind w:firstLine="640"/>
      </w:pPr>
      <w:r>
        <w:rPr>
          <w:rFonts w:hint="eastAsia"/>
        </w:rPr>
        <w:t>结合评价工作组审核结果和专家评价意见，对项目决策、过程、产出和效益情况进行综合分析，形成绩效评价</w:t>
      </w:r>
      <w:r>
        <w:rPr>
          <w:rFonts w:hint="eastAsia"/>
          <w:lang w:eastAsia="zh-Hans"/>
        </w:rPr>
        <w:t>报告</w:t>
      </w:r>
      <w:r>
        <w:rPr>
          <w:rFonts w:hint="eastAsia"/>
        </w:rPr>
        <w:t>初稿，在市</w:t>
      </w:r>
      <w:r>
        <w:rPr>
          <w:rFonts w:hint="eastAsia"/>
          <w:lang w:eastAsia="zh-Hans"/>
        </w:rPr>
        <w:t>民政局养老工作处</w:t>
      </w:r>
      <w:r>
        <w:rPr>
          <w:rFonts w:hint="eastAsia"/>
        </w:rPr>
        <w:t>反馈意见的基础上，对报告内容进行完善，形成正式绩效评价报告。</w:t>
      </w:r>
    </w:p>
    <w:p>
      <w:pPr>
        <w:pStyle w:val="2"/>
        <w:spacing w:line="560" w:lineRule="exact"/>
        <w:ind w:firstLine="640"/>
        <w:rPr>
          <w:rFonts w:ascii="黑体" w:hAnsi="黑体" w:eastAsia="黑体" w:cs="黑体"/>
          <w:b w:val="0"/>
          <w:bCs w:val="0"/>
          <w:szCs w:val="32"/>
        </w:rPr>
      </w:pPr>
      <w:bookmarkStart w:id="70" w:name="_Toc103094563"/>
      <w:bookmarkStart w:id="71" w:name="_Toc364507212"/>
      <w:bookmarkStart w:id="72" w:name="_Toc1758403255"/>
      <w:bookmarkStart w:id="73" w:name="_Toc384549801"/>
      <w:bookmarkStart w:id="74" w:name="_Toc103096318"/>
      <w:r>
        <w:rPr>
          <w:rFonts w:hint="eastAsia" w:ascii="黑体" w:hAnsi="黑体" w:eastAsia="黑体" w:cs="黑体"/>
          <w:b w:val="0"/>
          <w:bCs w:val="0"/>
          <w:szCs w:val="32"/>
        </w:rPr>
        <w:t>三、</w:t>
      </w:r>
      <w:bookmarkEnd w:id="69"/>
      <w:r>
        <w:rPr>
          <w:rFonts w:hint="eastAsia" w:ascii="黑体" w:hAnsi="黑体" w:eastAsia="黑体" w:cs="黑体"/>
          <w:b w:val="0"/>
          <w:bCs w:val="0"/>
          <w:szCs w:val="32"/>
        </w:rPr>
        <w:t>综合评价情况及评价结论</w:t>
      </w:r>
      <w:bookmarkEnd w:id="70"/>
      <w:bookmarkEnd w:id="71"/>
      <w:bookmarkEnd w:id="72"/>
      <w:bookmarkEnd w:id="73"/>
      <w:bookmarkEnd w:id="74"/>
    </w:p>
    <w:p>
      <w:pPr>
        <w:ind w:firstLine="640"/>
        <w:rPr>
          <w:rFonts w:hint="eastAsia" w:ascii="仿宋_GB2312" w:hAnsi="仿宋_GB2312" w:eastAsia="仿宋_GB2312" w:cs="仿宋_GB2312"/>
        </w:rPr>
      </w:pPr>
      <w:r>
        <w:rPr>
          <w:rFonts w:hint="eastAsia" w:ascii="仿宋_GB2312" w:hAnsi="仿宋_GB2312" w:eastAsia="仿宋_GB2312" w:cs="仿宋_GB2312"/>
        </w:rPr>
        <w:t>经综合评价，市</w:t>
      </w:r>
      <w:r>
        <w:rPr>
          <w:rFonts w:hint="eastAsia" w:ascii="仿宋_GB2312" w:hAnsi="仿宋_GB2312" w:eastAsia="仿宋_GB2312" w:cs="仿宋_GB2312"/>
          <w:lang w:eastAsia="zh-Hans"/>
        </w:rPr>
        <w:t>民政局“社会办养老机构床位运营补贴”</w:t>
      </w:r>
      <w:r>
        <w:rPr>
          <w:rFonts w:hint="eastAsia" w:ascii="仿宋_GB2312" w:hAnsi="仿宋_GB2312" w:eastAsia="仿宋_GB2312" w:cs="仿宋_GB2312"/>
        </w:rPr>
        <w:t>项目得分83</w:t>
      </w:r>
      <w:r>
        <w:rPr>
          <w:rFonts w:hint="eastAsia" w:ascii="仿宋_GB2312" w:hAnsi="仿宋_GB2312" w:eastAsia="仿宋_GB2312" w:cs="仿宋_GB2312"/>
          <w:lang w:eastAsia="zh-Hans"/>
        </w:rPr>
        <w:t>.66</w:t>
      </w:r>
      <w:r>
        <w:rPr>
          <w:rFonts w:hint="eastAsia" w:ascii="仿宋_GB2312" w:hAnsi="仿宋_GB2312" w:eastAsia="仿宋_GB2312" w:cs="仿宋_GB2312"/>
        </w:rPr>
        <w:t>分，综合绩效级别为“</w:t>
      </w:r>
      <w:r>
        <w:rPr>
          <w:rFonts w:hint="eastAsia" w:ascii="仿宋_GB2312" w:hAnsi="仿宋_GB2312" w:eastAsia="仿宋_GB2312" w:cs="仿宋_GB2312"/>
          <w:lang w:eastAsia="zh-Hans"/>
        </w:rPr>
        <w:t>良</w:t>
      </w:r>
      <w:r>
        <w:rPr>
          <w:rFonts w:hint="eastAsia" w:ascii="仿宋_GB2312" w:hAnsi="仿宋_GB2312" w:eastAsia="仿宋_GB2312" w:cs="仿宋_GB2312"/>
        </w:rPr>
        <w:t>”。该项目各指标得分和综合评价结论具体如下：</w:t>
      </w:r>
    </w:p>
    <w:p>
      <w:pPr>
        <w:ind w:firstLine="640"/>
        <w:rPr>
          <w:rFonts w:hint="eastAsia" w:ascii="仿宋_GB2312" w:hAnsi="仿宋_GB2312" w:eastAsia="仿宋_GB2312" w:cs="仿宋_GB2312"/>
        </w:rPr>
      </w:pPr>
      <w:r>
        <w:rPr>
          <w:rFonts w:hint="eastAsia" w:ascii="仿宋_GB2312" w:hAnsi="仿宋_GB2312" w:eastAsia="仿宋_GB2312" w:cs="仿宋_GB2312"/>
        </w:rPr>
        <w:t>项目决策。该指标分值12分，评价得分9.96分。</w:t>
      </w:r>
      <w:r>
        <w:rPr>
          <w:rFonts w:hint="eastAsia" w:ascii="仿宋_GB2312" w:hAnsi="仿宋_GB2312" w:eastAsia="仿宋_GB2312" w:cs="仿宋_GB2312"/>
          <w:bCs/>
        </w:rPr>
        <w:t>该项目整体层面立项依据较为充分，立项程序较为规范，但</w:t>
      </w:r>
      <w:r>
        <w:rPr>
          <w:rFonts w:hint="eastAsia" w:ascii="仿宋_GB2312" w:hAnsi="仿宋_GB2312" w:eastAsia="仿宋_GB2312" w:cs="仿宋_GB2312"/>
          <w:bCs/>
          <w:lang w:eastAsia="zh-Hans"/>
        </w:rPr>
        <w:t>绩效目标设置</w:t>
      </w:r>
      <w:r>
        <w:rPr>
          <w:rFonts w:hint="eastAsia" w:ascii="仿宋_GB2312" w:hAnsi="仿宋_GB2312" w:eastAsia="仿宋_GB2312" w:cs="仿宋_GB2312"/>
          <w:bCs/>
        </w:rPr>
        <w:t>有待完善。</w:t>
      </w:r>
    </w:p>
    <w:p>
      <w:pPr>
        <w:ind w:firstLine="640"/>
        <w:rPr>
          <w:rFonts w:hint="eastAsia" w:ascii="仿宋_GB2312" w:hAnsi="仿宋_GB2312" w:eastAsia="仿宋_GB2312" w:cs="仿宋_GB2312"/>
          <w:bCs/>
        </w:rPr>
      </w:pPr>
      <w:r>
        <w:rPr>
          <w:rFonts w:hint="eastAsia" w:ascii="仿宋_GB2312" w:hAnsi="仿宋_GB2312" w:eastAsia="仿宋_GB2312" w:cs="仿宋_GB2312"/>
        </w:rPr>
        <w:t>项目过程。该指标分值18分，评价得分14.70分。该项目</w:t>
      </w:r>
      <w:r>
        <w:rPr>
          <w:rFonts w:hint="eastAsia" w:ascii="仿宋_GB2312" w:hAnsi="仿宋_GB2312" w:eastAsia="仿宋_GB2312" w:cs="仿宋_GB2312"/>
          <w:bCs/>
        </w:rPr>
        <w:t>资金管理</w:t>
      </w:r>
      <w:r>
        <w:rPr>
          <w:rFonts w:hint="eastAsia" w:ascii="仿宋_GB2312" w:hAnsi="仿宋_GB2312" w:eastAsia="仿宋_GB2312" w:cs="仿宋_GB2312"/>
          <w:bCs/>
          <w:lang w:eastAsia="zh-Hans"/>
        </w:rPr>
        <w:t>制度及项目管理制度较健全，</w:t>
      </w:r>
      <w:r>
        <w:rPr>
          <w:rFonts w:hint="eastAsia" w:ascii="仿宋_GB2312" w:hAnsi="仿宋_GB2312" w:eastAsia="仿宋_GB2312" w:cs="仿宋_GB2312"/>
          <w:bCs/>
        </w:rPr>
        <w:t>组织实施基本有序，但</w:t>
      </w:r>
      <w:r>
        <w:rPr>
          <w:rFonts w:hint="eastAsia" w:ascii="仿宋_GB2312" w:hAnsi="仿宋_GB2312" w:eastAsia="仿宋_GB2312" w:cs="仿宋_GB2312"/>
          <w:bCs/>
          <w:lang w:eastAsia="zh-Hans"/>
        </w:rPr>
        <w:t>项目资金使用合规性及过程管理</w:t>
      </w:r>
      <w:r>
        <w:rPr>
          <w:rFonts w:hint="eastAsia" w:ascii="仿宋_GB2312" w:hAnsi="仿宋_GB2312" w:eastAsia="仿宋_GB2312" w:cs="仿宋_GB2312"/>
          <w:bCs/>
        </w:rPr>
        <w:t>有待完善。</w:t>
      </w:r>
    </w:p>
    <w:p>
      <w:pPr>
        <w:ind w:firstLine="640"/>
        <w:rPr>
          <w:rFonts w:hint="eastAsia" w:ascii="仿宋_GB2312" w:hAnsi="仿宋_GB2312" w:eastAsia="仿宋_GB2312" w:cs="仿宋_GB2312"/>
        </w:rPr>
      </w:pPr>
      <w:r>
        <w:rPr>
          <w:rFonts w:hint="eastAsia" w:ascii="仿宋_GB2312" w:hAnsi="仿宋_GB2312" w:eastAsia="仿宋_GB2312" w:cs="仿宋_GB2312"/>
        </w:rPr>
        <w:t>项目产出。该指标分值30分，评价得分27.00分。</w:t>
      </w:r>
      <w:r>
        <w:rPr>
          <w:rFonts w:hint="eastAsia" w:ascii="仿宋_GB2312" w:hAnsi="仿宋_GB2312" w:eastAsia="仿宋_GB2312" w:cs="仿宋_GB2312"/>
          <w:bCs/>
        </w:rPr>
        <w:t>该项目产出较为明确，</w:t>
      </w:r>
      <w:r>
        <w:rPr>
          <w:rFonts w:hint="eastAsia" w:ascii="仿宋_GB2312" w:hAnsi="仿宋_GB2312" w:eastAsia="仿宋_GB2312" w:cs="仿宋_GB2312"/>
          <w:bCs/>
          <w:lang w:eastAsia="zh-Hans"/>
        </w:rPr>
        <w:t>产出数量</w:t>
      </w:r>
      <w:r>
        <w:rPr>
          <w:rFonts w:hint="eastAsia" w:ascii="仿宋_GB2312" w:hAnsi="仿宋_GB2312" w:eastAsia="仿宋_GB2312" w:cs="仿宋_GB2312"/>
          <w:bCs/>
        </w:rPr>
        <w:t>完成</w:t>
      </w:r>
      <w:r>
        <w:rPr>
          <w:rFonts w:hint="eastAsia" w:ascii="仿宋_GB2312" w:hAnsi="仿宋_GB2312" w:eastAsia="仿宋_GB2312" w:cs="仿宋_GB2312"/>
          <w:bCs/>
          <w:lang w:eastAsia="zh-Hans"/>
        </w:rPr>
        <w:t>情况较好，但产出质量及产出进度受客观因素影响未</w:t>
      </w:r>
      <w:r>
        <w:rPr>
          <w:rFonts w:hint="eastAsia" w:ascii="仿宋_GB2312" w:hAnsi="仿宋_GB2312" w:eastAsia="仿宋_GB2312" w:cs="仿宋_GB2312"/>
          <w:bCs/>
        </w:rPr>
        <w:t>达成，成本控制有待加强。</w:t>
      </w:r>
    </w:p>
    <w:p>
      <w:pPr>
        <w:ind w:firstLine="640"/>
        <w:rPr>
          <w:rFonts w:hint="eastAsia" w:ascii="仿宋_GB2312" w:hAnsi="仿宋_GB2312" w:eastAsia="仿宋_GB2312" w:cs="仿宋_GB2312"/>
        </w:rPr>
      </w:pPr>
      <w:r>
        <w:rPr>
          <w:rFonts w:hint="eastAsia" w:ascii="仿宋_GB2312" w:hAnsi="仿宋_GB2312" w:eastAsia="仿宋_GB2312" w:cs="仿宋_GB2312"/>
        </w:rPr>
        <w:t>项目效益。该指标分值40分，评价得分32.00分。</w:t>
      </w:r>
      <w:r>
        <w:rPr>
          <w:rFonts w:hint="eastAsia" w:ascii="仿宋_GB2312" w:hAnsi="仿宋_GB2312" w:eastAsia="仿宋_GB2312" w:cs="仿宋_GB2312"/>
          <w:bCs/>
        </w:rPr>
        <w:t>该项目整体效益实现情况良好</w:t>
      </w:r>
      <w:r>
        <w:rPr>
          <w:rFonts w:hint="eastAsia" w:ascii="仿宋_GB2312" w:hAnsi="仿宋_GB2312" w:eastAsia="仿宋_GB2312" w:cs="仿宋_GB2312"/>
        </w:rPr>
        <w:t>，</w:t>
      </w:r>
      <w:r>
        <w:rPr>
          <w:rFonts w:hint="eastAsia" w:ascii="仿宋_GB2312" w:hAnsi="仿宋_GB2312" w:eastAsia="仿宋_GB2312" w:cs="仿宋_GB2312"/>
          <w:lang w:eastAsia="zh-Hans"/>
        </w:rPr>
        <w:t>服务对象满意度水平较高</w:t>
      </w:r>
      <w:r>
        <w:rPr>
          <w:rFonts w:hint="eastAsia" w:ascii="仿宋_GB2312" w:hAnsi="仿宋_GB2312" w:eastAsia="仿宋_GB2312" w:cs="仿宋_GB2312"/>
        </w:rPr>
        <w:t>。</w:t>
      </w:r>
    </w:p>
    <w:p>
      <w:pPr>
        <w:spacing w:after="217" w:afterLines="50"/>
        <w:ind w:firstLine="0" w:firstLineChars="0"/>
        <w:jc w:val="center"/>
        <w:rPr>
          <w:rFonts w:eastAsia="黑体" w:cs="Times New Roman"/>
          <w:sz w:val="28"/>
          <w:szCs w:val="28"/>
        </w:rPr>
      </w:pPr>
      <w:r>
        <w:rPr>
          <w:rFonts w:eastAsia="黑体" w:cs="Times New Roman"/>
          <w:sz w:val="28"/>
          <w:szCs w:val="28"/>
        </w:rPr>
        <w:t xml:space="preserve">表5 </w:t>
      </w:r>
      <w:bookmarkStart w:id="75" w:name="_Hlk102942714"/>
      <w:r>
        <w:rPr>
          <w:rFonts w:hint="eastAsia" w:eastAsia="黑体" w:cs="Times New Roman"/>
          <w:sz w:val="28"/>
          <w:szCs w:val="28"/>
          <w:lang w:eastAsia="zh-Hans"/>
        </w:rPr>
        <w:t>社会办养老机构床位运营补贴</w:t>
      </w:r>
      <w:r>
        <w:rPr>
          <w:rFonts w:eastAsia="黑体" w:cs="Times New Roman"/>
          <w:sz w:val="28"/>
          <w:szCs w:val="28"/>
        </w:rPr>
        <w:t>项目</w:t>
      </w:r>
      <w:bookmarkEnd w:id="75"/>
      <w:r>
        <w:rPr>
          <w:rFonts w:eastAsia="黑体" w:cs="Times New Roman"/>
          <w:sz w:val="28"/>
          <w:szCs w:val="28"/>
        </w:rPr>
        <w:t>总体评价得分</w:t>
      </w:r>
    </w:p>
    <w:tbl>
      <w:tblPr>
        <w:tblStyle w:val="20"/>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0"/>
        <w:gridCol w:w="3240"/>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tblHeader/>
          <w:jc w:val="center"/>
        </w:trPr>
        <w:tc>
          <w:tcPr>
            <w:tcW w:w="2250" w:type="dxa"/>
            <w:shd w:val="clear" w:color="auto" w:fill="BEBEBE" w:themeFill="background1" w:themeFillShade="BF"/>
            <w:vAlign w:val="center"/>
          </w:tcPr>
          <w:p>
            <w:pPr>
              <w:spacing w:line="240" w:lineRule="auto"/>
              <w:ind w:firstLine="0" w:firstLineChars="0"/>
              <w:jc w:val="center"/>
              <w:rPr>
                <w:rFonts w:eastAsia="宋体" w:cs="Times New Roman"/>
                <w:b/>
                <w:sz w:val="24"/>
              </w:rPr>
            </w:pPr>
            <w:r>
              <w:rPr>
                <w:rFonts w:eastAsia="宋体" w:cs="Times New Roman"/>
                <w:b/>
                <w:sz w:val="24"/>
              </w:rPr>
              <w:t>评价内容</w:t>
            </w:r>
          </w:p>
        </w:tc>
        <w:tc>
          <w:tcPr>
            <w:tcW w:w="3240" w:type="dxa"/>
            <w:shd w:val="clear" w:color="auto" w:fill="BEBEBE" w:themeFill="background1" w:themeFillShade="BF"/>
            <w:vAlign w:val="center"/>
          </w:tcPr>
          <w:p>
            <w:pPr>
              <w:spacing w:line="240" w:lineRule="auto"/>
              <w:ind w:firstLine="0" w:firstLineChars="0"/>
              <w:jc w:val="center"/>
              <w:rPr>
                <w:rFonts w:eastAsia="宋体" w:cs="Times New Roman"/>
                <w:b/>
                <w:sz w:val="24"/>
              </w:rPr>
            </w:pPr>
            <w:r>
              <w:rPr>
                <w:rFonts w:eastAsia="宋体" w:cs="Times New Roman"/>
                <w:b/>
                <w:sz w:val="24"/>
              </w:rPr>
              <w:t>分值</w:t>
            </w:r>
          </w:p>
        </w:tc>
        <w:tc>
          <w:tcPr>
            <w:tcW w:w="2995" w:type="dxa"/>
            <w:shd w:val="clear" w:color="auto" w:fill="BEBEBE" w:themeFill="background1" w:themeFillShade="BF"/>
            <w:vAlign w:val="center"/>
          </w:tcPr>
          <w:p>
            <w:pPr>
              <w:spacing w:line="240" w:lineRule="auto"/>
              <w:ind w:firstLine="0" w:firstLineChars="0"/>
              <w:jc w:val="center"/>
              <w:rPr>
                <w:rFonts w:eastAsia="宋体" w:cs="Times New Roman"/>
                <w:b/>
                <w:sz w:val="24"/>
              </w:rPr>
            </w:pPr>
            <w:r>
              <w:rPr>
                <w:rFonts w:eastAsia="宋体" w:cs="Times New Roman"/>
                <w:b/>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pPr>
              <w:pStyle w:val="6"/>
              <w:spacing w:line="240" w:lineRule="auto"/>
              <w:ind w:firstLine="0" w:firstLineChars="0"/>
              <w:jc w:val="center"/>
              <w:rPr>
                <w:rFonts w:eastAsia="宋体" w:cs="Times New Roman"/>
                <w:b/>
                <w:sz w:val="24"/>
                <w:szCs w:val="24"/>
              </w:rPr>
            </w:pPr>
            <w:r>
              <w:rPr>
                <w:rFonts w:eastAsia="宋体" w:cs="Times New Roman"/>
                <w:b/>
                <w:sz w:val="24"/>
                <w:szCs w:val="24"/>
              </w:rPr>
              <w:t>项目决策</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12.00</w:t>
            </w:r>
          </w:p>
        </w:tc>
        <w:tc>
          <w:tcPr>
            <w:tcW w:w="2995" w:type="dxa"/>
            <w:vAlign w:val="center"/>
          </w:tcPr>
          <w:p>
            <w:pPr>
              <w:spacing w:line="240" w:lineRule="auto"/>
              <w:ind w:firstLine="0" w:firstLineChars="0"/>
              <w:jc w:val="center"/>
              <w:rPr>
                <w:rFonts w:eastAsia="宋体" w:cs="Times New Roman"/>
                <w:bCs/>
                <w:sz w:val="24"/>
              </w:rPr>
            </w:pPr>
            <w:r>
              <w:rPr>
                <w:rFonts w:eastAsia="宋体" w:cs="Times New Roman"/>
                <w:bCs/>
                <w:sz w:val="24"/>
              </w:rPr>
              <w:t>9.</w:t>
            </w:r>
            <w:r>
              <w:rPr>
                <w:rFonts w:hint="default" w:eastAsia="宋体" w:cs="Times New Roman"/>
                <w:bCs/>
                <w:sz w:val="24"/>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项目过程</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18.00</w:t>
            </w:r>
          </w:p>
        </w:tc>
        <w:tc>
          <w:tcPr>
            <w:tcW w:w="2995" w:type="dxa"/>
            <w:vAlign w:val="center"/>
          </w:tcPr>
          <w:p>
            <w:pPr>
              <w:spacing w:line="240" w:lineRule="auto"/>
              <w:ind w:firstLine="0" w:firstLineChars="0"/>
              <w:jc w:val="center"/>
              <w:rPr>
                <w:rFonts w:eastAsia="宋体" w:cs="Times New Roman"/>
                <w:bCs/>
                <w:sz w:val="24"/>
              </w:rPr>
            </w:pPr>
            <w:r>
              <w:rPr>
                <w:rFonts w:eastAsia="宋体" w:cs="Times New Roman"/>
                <w:bCs/>
                <w:sz w:val="24"/>
              </w:rPr>
              <w:t>1</w:t>
            </w:r>
            <w:r>
              <w:rPr>
                <w:rFonts w:hint="default" w:eastAsia="宋体" w:cs="Times New Roman"/>
                <w:bCs/>
                <w:sz w:val="24"/>
              </w:rPr>
              <w:t>4</w:t>
            </w:r>
            <w:r>
              <w:rPr>
                <w:rFonts w:eastAsia="宋体" w:cs="Times New Roman"/>
                <w:bCs/>
                <w:sz w:val="24"/>
              </w:rPr>
              <w:t>.</w:t>
            </w:r>
            <w:r>
              <w:rPr>
                <w:rFonts w:hint="default" w:eastAsia="宋体" w:cs="Times New Roman"/>
                <w:bCs/>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项目产出</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30.00</w:t>
            </w:r>
          </w:p>
        </w:tc>
        <w:tc>
          <w:tcPr>
            <w:tcW w:w="2995" w:type="dxa"/>
            <w:vAlign w:val="center"/>
          </w:tcPr>
          <w:p>
            <w:pPr>
              <w:spacing w:line="240" w:lineRule="auto"/>
              <w:ind w:firstLine="0" w:firstLineChars="0"/>
              <w:jc w:val="center"/>
              <w:rPr>
                <w:rFonts w:eastAsia="宋体" w:cs="Times New Roman"/>
                <w:bCs/>
                <w:sz w:val="24"/>
              </w:rPr>
            </w:pPr>
            <w:r>
              <w:rPr>
                <w:rFonts w:eastAsia="宋体" w:cs="Times New Roman"/>
                <w:bCs/>
                <w:sz w:val="24"/>
              </w:rPr>
              <w:t>27.</w:t>
            </w:r>
            <w:r>
              <w:rPr>
                <w:rFonts w:hint="default" w:eastAsia="宋体" w:cs="Times New Roman"/>
                <w:bCs/>
                <w:sz w:val="24"/>
              </w:rPr>
              <w:t>0</w:t>
            </w:r>
            <w:r>
              <w:rPr>
                <w:rFonts w:eastAsia="宋体" w:cs="Times New Roman"/>
                <w:bCs/>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项目效益</w:t>
            </w:r>
          </w:p>
        </w:tc>
        <w:tc>
          <w:tcPr>
            <w:tcW w:w="3240" w:type="dxa"/>
            <w:vAlign w:val="center"/>
          </w:tcPr>
          <w:p>
            <w:pPr>
              <w:spacing w:line="240" w:lineRule="auto"/>
              <w:ind w:firstLine="0" w:firstLineChars="0"/>
              <w:jc w:val="center"/>
              <w:rPr>
                <w:rFonts w:eastAsia="宋体" w:cs="Times New Roman"/>
                <w:bCs/>
                <w:sz w:val="24"/>
              </w:rPr>
            </w:pPr>
            <w:r>
              <w:rPr>
                <w:rFonts w:eastAsia="宋体" w:cs="Times New Roman"/>
                <w:bCs/>
                <w:sz w:val="24"/>
              </w:rPr>
              <w:t>40.00</w:t>
            </w:r>
          </w:p>
        </w:tc>
        <w:tc>
          <w:tcPr>
            <w:tcW w:w="2995" w:type="dxa"/>
            <w:vAlign w:val="center"/>
          </w:tcPr>
          <w:p>
            <w:pPr>
              <w:spacing w:line="240" w:lineRule="auto"/>
              <w:ind w:firstLine="0" w:firstLineChars="0"/>
              <w:jc w:val="center"/>
              <w:rPr>
                <w:rFonts w:eastAsia="宋体" w:cs="Times New Roman"/>
                <w:bCs/>
                <w:sz w:val="24"/>
              </w:rPr>
            </w:pPr>
            <w:r>
              <w:rPr>
                <w:rFonts w:eastAsia="宋体" w:cs="Times New Roman"/>
                <w:bCs/>
                <w:sz w:val="24"/>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综合得分</w:t>
            </w:r>
          </w:p>
        </w:tc>
        <w:tc>
          <w:tcPr>
            <w:tcW w:w="3240" w:type="dxa"/>
            <w:vAlign w:val="center"/>
          </w:tcPr>
          <w:p>
            <w:pPr>
              <w:spacing w:line="240" w:lineRule="auto"/>
              <w:ind w:firstLine="0" w:firstLineChars="0"/>
              <w:jc w:val="center"/>
              <w:rPr>
                <w:rFonts w:eastAsia="宋体" w:cs="Times New Roman"/>
                <w:b/>
                <w:sz w:val="24"/>
              </w:rPr>
            </w:pPr>
            <w:r>
              <w:rPr>
                <w:rFonts w:eastAsia="宋体" w:cs="Times New Roman"/>
                <w:b/>
                <w:sz w:val="24"/>
              </w:rPr>
              <w:t>100.00</w:t>
            </w:r>
          </w:p>
        </w:tc>
        <w:tc>
          <w:tcPr>
            <w:tcW w:w="2995" w:type="dxa"/>
            <w:vAlign w:val="center"/>
          </w:tcPr>
          <w:p>
            <w:pPr>
              <w:spacing w:line="240" w:lineRule="auto"/>
              <w:ind w:firstLine="0" w:firstLineChars="0"/>
              <w:jc w:val="center"/>
              <w:rPr>
                <w:rFonts w:eastAsia="宋体" w:cs="Times New Roman"/>
                <w:b/>
                <w:sz w:val="24"/>
              </w:rPr>
            </w:pPr>
            <w:r>
              <w:rPr>
                <w:rFonts w:eastAsia="宋体" w:cs="Times New Roman"/>
                <w:b/>
                <w:sz w:val="24"/>
              </w:rPr>
              <w:t>83.66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2250" w:type="dxa"/>
            <w:vAlign w:val="center"/>
          </w:tcPr>
          <w:p>
            <w:pPr>
              <w:spacing w:line="240" w:lineRule="auto"/>
              <w:ind w:firstLine="0" w:firstLineChars="0"/>
              <w:jc w:val="center"/>
              <w:rPr>
                <w:rFonts w:eastAsia="宋体" w:cs="Times New Roman"/>
                <w:b/>
                <w:sz w:val="24"/>
              </w:rPr>
            </w:pPr>
            <w:r>
              <w:rPr>
                <w:rFonts w:eastAsia="宋体" w:cs="Times New Roman"/>
                <w:b/>
                <w:sz w:val="24"/>
              </w:rPr>
              <w:t>绩效</w:t>
            </w:r>
            <w:r>
              <w:rPr>
                <w:rFonts w:hint="eastAsia" w:eastAsia="宋体" w:cs="Times New Roman"/>
                <w:b/>
                <w:sz w:val="24"/>
              </w:rPr>
              <w:t>级别评价</w:t>
            </w:r>
          </w:p>
        </w:tc>
        <w:tc>
          <w:tcPr>
            <w:tcW w:w="6235" w:type="dxa"/>
            <w:gridSpan w:val="2"/>
            <w:vAlign w:val="center"/>
          </w:tcPr>
          <w:p>
            <w:pPr>
              <w:spacing w:line="240" w:lineRule="auto"/>
              <w:ind w:firstLine="0" w:firstLineChars="0"/>
              <w:jc w:val="center"/>
              <w:rPr>
                <w:rFonts w:eastAsia="宋体" w:cs="Times New Roman"/>
                <w:b/>
                <w:sz w:val="24"/>
                <w:lang w:eastAsia="zh-Hans"/>
              </w:rPr>
            </w:pPr>
            <w:r>
              <w:rPr>
                <w:rFonts w:eastAsia="宋体" w:cs="Times New Roman"/>
                <w:b/>
                <w:sz w:val="24"/>
                <w:lang w:eastAsia="zh-Hans"/>
              </w:rPr>
              <w:t>良</w:t>
            </w:r>
          </w:p>
        </w:tc>
      </w:tr>
    </w:tbl>
    <w:p>
      <w:pPr>
        <w:pStyle w:val="2"/>
        <w:spacing w:before="217" w:beforeLines="50" w:line="560" w:lineRule="exact"/>
        <w:ind w:firstLine="640"/>
        <w:rPr>
          <w:rFonts w:ascii="黑体" w:hAnsi="黑体" w:eastAsia="黑体" w:cs="黑体"/>
          <w:b w:val="0"/>
          <w:bCs w:val="0"/>
          <w:szCs w:val="32"/>
        </w:rPr>
      </w:pPr>
      <w:bookmarkStart w:id="76" w:name="_Toc1350211584"/>
      <w:bookmarkStart w:id="77" w:name="_Toc1649350840"/>
      <w:bookmarkStart w:id="78" w:name="_Toc103094564"/>
      <w:bookmarkStart w:id="79" w:name="_Toc1961040418"/>
      <w:bookmarkStart w:id="80" w:name="_Toc103096319"/>
      <w:r>
        <w:rPr>
          <w:rFonts w:hint="eastAsia" w:ascii="黑体" w:hAnsi="黑体" w:eastAsia="黑体" w:cs="黑体"/>
          <w:b w:val="0"/>
          <w:bCs w:val="0"/>
          <w:szCs w:val="32"/>
        </w:rPr>
        <w:t>四、绩效评价指标分析</w:t>
      </w:r>
      <w:bookmarkEnd w:id="76"/>
      <w:bookmarkEnd w:id="77"/>
      <w:bookmarkEnd w:id="78"/>
      <w:bookmarkEnd w:id="79"/>
      <w:bookmarkEnd w:id="80"/>
    </w:p>
    <w:p>
      <w:pPr>
        <w:pStyle w:val="3"/>
        <w:ind w:firstLine="640"/>
        <w:rPr>
          <w:rFonts w:hint="eastAsia" w:ascii="楷体_GB2312" w:hAnsi="楷体_GB2312" w:eastAsia="楷体_GB2312" w:cs="楷体_GB2312"/>
          <w:b/>
          <w:bCs/>
        </w:rPr>
      </w:pPr>
      <w:bookmarkStart w:id="81" w:name="_Toc515586352"/>
      <w:bookmarkStart w:id="82" w:name="_Toc546394439"/>
      <w:bookmarkStart w:id="83" w:name="_Toc103096320"/>
      <w:bookmarkStart w:id="84" w:name="_Toc920652404"/>
      <w:bookmarkStart w:id="85" w:name="_Toc1774774817"/>
      <w:bookmarkStart w:id="86" w:name="_Toc103094565"/>
      <w:r>
        <w:rPr>
          <w:rFonts w:hint="eastAsia" w:ascii="楷体_GB2312" w:hAnsi="楷体_GB2312" w:eastAsia="楷体_GB2312" w:cs="楷体_GB2312"/>
          <w:bCs/>
        </w:rPr>
        <w:t>（一）项目</w:t>
      </w:r>
      <w:bookmarkEnd w:id="81"/>
      <w:r>
        <w:rPr>
          <w:rFonts w:hint="eastAsia" w:ascii="楷体_GB2312" w:hAnsi="楷体_GB2312" w:eastAsia="楷体_GB2312" w:cs="楷体_GB2312"/>
          <w:bCs/>
        </w:rPr>
        <w:t>决策情况</w:t>
      </w:r>
      <w:bookmarkEnd w:id="82"/>
      <w:bookmarkEnd w:id="83"/>
      <w:bookmarkEnd w:id="84"/>
      <w:bookmarkEnd w:id="85"/>
      <w:bookmarkEnd w:id="86"/>
    </w:p>
    <w:p>
      <w:pPr>
        <w:pStyle w:val="4"/>
        <w:ind w:firstLine="643"/>
        <w:rPr>
          <w:rFonts w:hint="eastAsia" w:ascii="仿宋_GB2312" w:hAnsi="仿宋_GB2312" w:eastAsia="仿宋_GB2312" w:cs="仿宋_GB2312"/>
        </w:rPr>
      </w:pPr>
      <w:bookmarkStart w:id="87" w:name="_Toc103094566"/>
      <w:r>
        <w:rPr>
          <w:rFonts w:hint="eastAsia" w:ascii="仿宋_GB2312" w:hAnsi="仿宋_GB2312" w:eastAsia="仿宋_GB2312" w:cs="仿宋_GB2312"/>
        </w:rPr>
        <w:t>1.项目立项</w:t>
      </w:r>
      <w:bookmarkEnd w:id="87"/>
    </w:p>
    <w:p>
      <w:pPr>
        <w:ind w:firstLine="640"/>
        <w:rPr>
          <w:rFonts w:hint="eastAsia" w:ascii="仿宋_GB2312" w:hAnsi="仿宋_GB2312" w:eastAsia="仿宋_GB2312" w:cs="仿宋_GB2312"/>
          <w:kern w:val="44"/>
        </w:rPr>
      </w:pPr>
      <w:r>
        <w:rPr>
          <w:rFonts w:hint="eastAsia" w:ascii="仿宋_GB2312" w:hAnsi="仿宋_GB2312" w:eastAsia="仿宋_GB2312" w:cs="仿宋_GB2312"/>
          <w:kern w:val="44"/>
        </w:rPr>
        <w:t>（1）立项依据充分性分析</w:t>
      </w:r>
    </w:p>
    <w:p>
      <w:pPr>
        <w:ind w:firstLine="640"/>
        <w:rPr>
          <w:rFonts w:hint="eastAsia" w:ascii="仿宋_GB2312" w:hAnsi="仿宋_GB2312" w:eastAsia="仿宋_GB2312" w:cs="仿宋_GB2312"/>
          <w:lang w:eastAsia="zh-Hans"/>
        </w:rPr>
      </w:pPr>
      <w:r>
        <w:rPr>
          <w:rFonts w:hint="eastAsia" w:ascii="仿宋_GB2312" w:hAnsi="仿宋_GB2312" w:eastAsia="仿宋_GB2312" w:cs="仿宋_GB2312"/>
        </w:rPr>
        <w:t>该项目立足于</w:t>
      </w:r>
      <w:r>
        <w:rPr>
          <w:rFonts w:hint="eastAsia" w:ascii="仿宋_GB2312" w:hAnsi="仿宋_GB2312" w:eastAsia="仿宋_GB2312" w:cs="仿宋_GB2312"/>
          <w:lang w:eastAsia="zh-Hans"/>
        </w:rPr>
        <w:t>“引导养老机构进一步提升养老服务质量，提升社会群众对养老机构的认可度”</w:t>
      </w:r>
      <w:r>
        <w:rPr>
          <w:rFonts w:hint="eastAsia" w:ascii="仿宋_GB2312" w:hAnsi="仿宋_GB2312" w:eastAsia="仿宋_GB2312" w:cs="仿宋_GB2312"/>
        </w:rPr>
        <w:t>的</w:t>
      </w:r>
      <w:r>
        <w:rPr>
          <w:rFonts w:hint="eastAsia" w:ascii="仿宋_GB2312" w:hAnsi="仿宋_GB2312" w:eastAsia="仿宋_GB2312" w:cs="仿宋_GB2312"/>
          <w:lang w:eastAsia="zh-Hans"/>
        </w:rPr>
        <w:t>现实</w:t>
      </w:r>
      <w:r>
        <w:rPr>
          <w:rFonts w:hint="eastAsia" w:ascii="仿宋_GB2312" w:hAnsi="仿宋_GB2312" w:eastAsia="仿宋_GB2312" w:cs="仿宋_GB2312"/>
        </w:rPr>
        <w:t>需求，根据</w:t>
      </w:r>
      <w:r>
        <w:rPr>
          <w:rFonts w:hint="eastAsia" w:ascii="仿宋_GB2312" w:hAnsi="仿宋_GB2312" w:eastAsia="仿宋_GB2312" w:cs="仿宋_GB2312"/>
          <w:lang w:eastAsia="zh-Hans"/>
        </w:rPr>
        <w:t>《北京市养老机构运营补贴管理办法》（京民福发〔2018〕411号）、《北京市民政局关于进一步做好养老机构运营补贴工作的通知》（京民养老发〔2020〕16号）</w:t>
      </w:r>
      <w:r>
        <w:rPr>
          <w:rFonts w:hint="eastAsia" w:ascii="仿宋_GB2312" w:hAnsi="仿宋_GB2312" w:eastAsia="仿宋_GB2312" w:cs="仿宋_GB2312"/>
        </w:rPr>
        <w:t>等政策文件设立。</w:t>
      </w:r>
      <w:r>
        <w:rPr>
          <w:rFonts w:hint="eastAsia" w:ascii="仿宋_GB2312" w:hAnsi="仿宋_GB2312" w:eastAsia="仿宋_GB2312" w:cs="仿宋_GB2312"/>
          <w:b/>
          <w:bCs/>
        </w:rPr>
        <w:t>评价认为，</w:t>
      </w:r>
      <w:r>
        <w:rPr>
          <w:rFonts w:hint="eastAsia" w:ascii="仿宋_GB2312" w:hAnsi="仿宋_GB2312" w:eastAsia="仿宋_GB2312" w:cs="仿宋_GB2312"/>
          <w:lang w:eastAsia="zh-Hans"/>
        </w:rPr>
        <w:t>该项目</w:t>
      </w:r>
      <w:r>
        <w:rPr>
          <w:rFonts w:hint="eastAsia" w:ascii="仿宋_GB2312" w:hAnsi="仿宋_GB2312" w:eastAsia="仿宋_GB2312" w:cs="仿宋_GB2312"/>
        </w:rPr>
        <w:t>具有一定的现实需求</w:t>
      </w:r>
      <w:r>
        <w:rPr>
          <w:rFonts w:hint="eastAsia" w:ascii="仿宋_GB2312" w:hAnsi="仿宋_GB2312" w:eastAsia="仿宋_GB2312" w:cs="仿宋_GB2312"/>
          <w:lang w:eastAsia="zh-Hans"/>
        </w:rPr>
        <w:t>和</w:t>
      </w:r>
      <w:r>
        <w:rPr>
          <w:rFonts w:hint="eastAsia" w:ascii="仿宋_GB2312" w:hAnsi="仿宋_GB2312" w:eastAsia="仿宋_GB2312" w:cs="仿宋_GB2312"/>
        </w:rPr>
        <w:t>明确的政策依据，符合市</w:t>
      </w:r>
      <w:r>
        <w:rPr>
          <w:rFonts w:hint="eastAsia" w:ascii="仿宋_GB2312" w:hAnsi="仿宋_GB2312" w:eastAsia="仿宋_GB2312" w:cs="仿宋_GB2312"/>
          <w:lang w:eastAsia="zh-Hans"/>
        </w:rPr>
        <w:t>民政局</w:t>
      </w:r>
      <w:r>
        <w:rPr>
          <w:rFonts w:hint="eastAsia" w:ascii="仿宋_GB2312" w:hAnsi="仿宋_GB2312" w:eastAsia="仿宋_GB2312" w:cs="仿宋_GB2312"/>
        </w:rPr>
        <w:t>职能，属于公共财政支持范围，项目立项依据较为充分。</w:t>
      </w:r>
    </w:p>
    <w:p>
      <w:pPr>
        <w:ind w:firstLine="640"/>
        <w:rPr>
          <w:rFonts w:hint="eastAsia" w:ascii="仿宋_GB2312" w:hAnsi="仿宋_GB2312" w:eastAsia="仿宋_GB2312" w:cs="仿宋_GB2312"/>
        </w:rPr>
      </w:pPr>
      <w:r>
        <w:rPr>
          <w:rFonts w:hint="eastAsia" w:ascii="仿宋_GB2312" w:hAnsi="仿宋_GB2312" w:eastAsia="仿宋_GB2312" w:cs="仿宋_GB2312"/>
        </w:rPr>
        <w:t>（2）立项程序规范性分析</w:t>
      </w:r>
    </w:p>
    <w:p>
      <w:pPr>
        <w:ind w:firstLine="640"/>
        <w:rPr>
          <w:rFonts w:hint="eastAsia" w:ascii="仿宋_GB2312" w:hAnsi="仿宋_GB2312" w:eastAsia="仿宋_GB2312" w:cs="仿宋_GB2312"/>
        </w:rPr>
      </w:pPr>
      <w:r>
        <w:rPr>
          <w:rFonts w:hint="eastAsia" w:ascii="仿宋_GB2312" w:hAnsi="仿宋_GB2312" w:eastAsia="仿宋_GB2312" w:cs="仿宋_GB2312"/>
          <w:lang w:eastAsia="zh-Hans"/>
        </w:rPr>
        <w:t>该项目为市对区专项转移支付项目</w:t>
      </w:r>
      <w:r>
        <w:rPr>
          <w:rFonts w:hint="eastAsia" w:ascii="仿宋_GB2312" w:hAnsi="仿宋_GB2312" w:eastAsia="仿宋_GB2312" w:cs="仿宋_GB2312"/>
        </w:rPr>
        <w:t>，</w:t>
      </w:r>
      <w:r>
        <w:rPr>
          <w:rFonts w:hint="eastAsia" w:ascii="仿宋_GB2312" w:hAnsi="仿宋_GB2312" w:eastAsia="仿宋_GB2312" w:cs="仿宋_GB2312"/>
          <w:lang w:eastAsia="zh-Hans"/>
        </w:rPr>
        <w:t>自2019年起设立，</w:t>
      </w:r>
      <w:r>
        <w:rPr>
          <w:rFonts w:hint="eastAsia" w:ascii="仿宋_GB2312" w:hAnsi="仿宋_GB2312" w:eastAsia="仿宋_GB2312" w:cs="仿宋_GB2312"/>
        </w:rPr>
        <w:t>项目设立</w:t>
      </w:r>
      <w:r>
        <w:rPr>
          <w:rFonts w:hint="eastAsia" w:ascii="仿宋_GB2312" w:hAnsi="仿宋_GB2312" w:eastAsia="仿宋_GB2312" w:cs="仿宋_GB2312"/>
          <w:lang w:eastAsia="zh-Hans"/>
        </w:rPr>
        <w:t>符合《北京市专项转移支付管理办法》（京财预〔2016〕947号）</w:t>
      </w:r>
      <w:r>
        <w:rPr>
          <w:rFonts w:hint="eastAsia" w:ascii="仿宋_GB2312" w:hAnsi="仿宋_GB2312" w:eastAsia="仿宋_GB2312" w:cs="仿宋_GB2312"/>
        </w:rPr>
        <w:t>规定的设立条件，由市</w:t>
      </w:r>
      <w:r>
        <w:rPr>
          <w:rFonts w:hint="eastAsia" w:ascii="仿宋_GB2312" w:hAnsi="仿宋_GB2312" w:eastAsia="仿宋_GB2312" w:cs="仿宋_GB2312"/>
          <w:lang w:eastAsia="zh-Hans"/>
        </w:rPr>
        <w:t>民政局</w:t>
      </w:r>
      <w:r>
        <w:rPr>
          <w:rFonts w:hint="eastAsia" w:ascii="仿宋_GB2312" w:hAnsi="仿宋_GB2312" w:eastAsia="仿宋_GB2312" w:cs="仿宋_GB2312"/>
        </w:rPr>
        <w:t>提出申请，经市财政局审核后报市政府批准。</w:t>
      </w:r>
      <w:r>
        <w:rPr>
          <w:rFonts w:hint="eastAsia" w:ascii="仿宋_GB2312" w:hAnsi="仿宋_GB2312" w:eastAsia="仿宋_GB2312" w:cs="仿宋_GB2312"/>
          <w:lang w:eastAsia="zh-Hans"/>
        </w:rPr>
        <w:t>项目</w:t>
      </w:r>
      <w:r>
        <w:rPr>
          <w:rFonts w:hint="eastAsia" w:ascii="仿宋_GB2312" w:hAnsi="仿宋_GB2312" w:eastAsia="仿宋_GB2312" w:cs="仿宋_GB2312"/>
        </w:rPr>
        <w:t>批准设立后，市</w:t>
      </w:r>
      <w:r>
        <w:rPr>
          <w:rFonts w:hint="eastAsia" w:ascii="仿宋_GB2312" w:hAnsi="仿宋_GB2312" w:eastAsia="仿宋_GB2312" w:cs="仿宋_GB2312"/>
          <w:lang w:eastAsia="zh-Hans"/>
        </w:rPr>
        <w:t>民政局</w:t>
      </w:r>
      <w:r>
        <w:rPr>
          <w:rFonts w:hint="eastAsia" w:ascii="仿宋_GB2312" w:hAnsi="仿宋_GB2312" w:eastAsia="仿宋_GB2312" w:cs="仿宋_GB2312"/>
        </w:rPr>
        <w:t>会同市财政局</w:t>
      </w:r>
      <w:r>
        <w:rPr>
          <w:rFonts w:hint="eastAsia" w:ascii="仿宋_GB2312" w:hAnsi="仿宋_GB2312" w:eastAsia="仿宋_GB2312" w:cs="仿宋_GB2312"/>
          <w:lang w:eastAsia="zh-Hans"/>
        </w:rPr>
        <w:t>等</w:t>
      </w:r>
      <w:r>
        <w:rPr>
          <w:rFonts w:hint="eastAsia" w:ascii="仿宋_GB2312" w:hAnsi="仿宋_GB2312" w:eastAsia="仿宋_GB2312" w:cs="仿宋_GB2312"/>
        </w:rPr>
        <w:t>部门制定</w:t>
      </w:r>
      <w:r>
        <w:rPr>
          <w:rFonts w:hint="eastAsia" w:ascii="仿宋_GB2312" w:hAnsi="仿宋_GB2312" w:eastAsia="仿宋_GB2312" w:cs="仿宋_GB2312"/>
          <w:lang w:eastAsia="zh-Hans"/>
        </w:rPr>
        <w:t>了</w:t>
      </w:r>
      <w:r>
        <w:rPr>
          <w:rFonts w:hint="eastAsia" w:ascii="仿宋_GB2312" w:hAnsi="仿宋_GB2312" w:eastAsia="仿宋_GB2312" w:cs="仿宋_GB2312"/>
        </w:rPr>
        <w:t>资金管理办法。</w:t>
      </w:r>
      <w:r>
        <w:rPr>
          <w:rFonts w:hint="eastAsia" w:ascii="仿宋_GB2312" w:hAnsi="仿宋_GB2312" w:eastAsia="仿宋_GB2312" w:cs="仿宋_GB2312"/>
          <w:b/>
          <w:bCs/>
        </w:rPr>
        <w:t>评价认为，</w:t>
      </w:r>
      <w:r>
        <w:rPr>
          <w:rFonts w:hint="eastAsia" w:ascii="仿宋_GB2312" w:hAnsi="仿宋_GB2312" w:eastAsia="仿宋_GB2312" w:cs="仿宋_GB2312"/>
        </w:rPr>
        <w:t>项目立项程序较为规范。</w:t>
      </w:r>
    </w:p>
    <w:p>
      <w:pPr>
        <w:pStyle w:val="4"/>
        <w:ind w:firstLine="643"/>
        <w:rPr>
          <w:rFonts w:hint="eastAsia" w:ascii="仿宋_GB2312" w:hAnsi="仿宋_GB2312" w:eastAsia="仿宋_GB2312" w:cs="仿宋_GB2312"/>
        </w:rPr>
      </w:pPr>
      <w:bookmarkStart w:id="88" w:name="_Toc103094567"/>
      <w:r>
        <w:rPr>
          <w:rFonts w:hint="eastAsia" w:ascii="仿宋_GB2312" w:hAnsi="仿宋_GB2312" w:eastAsia="仿宋_GB2312" w:cs="仿宋_GB2312"/>
        </w:rPr>
        <w:t>2.绩效目标</w:t>
      </w:r>
      <w:bookmarkEnd w:id="88"/>
    </w:p>
    <w:p>
      <w:pPr>
        <w:widowControl/>
        <w:ind w:firstLine="640"/>
        <w:jc w:val="left"/>
        <w:rPr>
          <w:rFonts w:hint="eastAsia" w:ascii="仿宋_GB2312" w:hAnsi="仿宋_GB2312" w:eastAsia="仿宋_GB2312" w:cs="仿宋_GB2312"/>
          <w:b/>
          <w:bCs/>
          <w:kern w:val="44"/>
        </w:rPr>
      </w:pPr>
      <w:r>
        <w:rPr>
          <w:rFonts w:hint="eastAsia" w:ascii="仿宋_GB2312" w:hAnsi="仿宋_GB2312" w:eastAsia="仿宋_GB2312" w:cs="仿宋_GB2312"/>
          <w:kern w:val="44"/>
        </w:rPr>
        <w:t>市</w:t>
      </w:r>
      <w:r>
        <w:rPr>
          <w:rFonts w:hint="eastAsia" w:ascii="仿宋_GB2312" w:hAnsi="仿宋_GB2312" w:eastAsia="仿宋_GB2312" w:cs="仿宋_GB2312"/>
          <w:kern w:val="44"/>
          <w:lang w:eastAsia="zh-Hans"/>
        </w:rPr>
        <w:t>民政局</w:t>
      </w:r>
      <w:r>
        <w:rPr>
          <w:rFonts w:hint="eastAsia" w:ascii="仿宋_GB2312" w:hAnsi="仿宋_GB2312" w:eastAsia="仿宋_GB2312" w:cs="仿宋_GB2312"/>
          <w:kern w:val="44"/>
        </w:rPr>
        <w:t>根据项目实施内容设定总体绩效目标，阐明项目预期效果，并进一步细化出具体指标。</w:t>
      </w:r>
      <w:r>
        <w:rPr>
          <w:rFonts w:hint="eastAsia" w:ascii="仿宋_GB2312" w:hAnsi="仿宋_GB2312" w:eastAsia="仿宋_GB2312" w:cs="仿宋_GB2312"/>
          <w:b/>
          <w:bCs/>
          <w:kern w:val="44"/>
        </w:rPr>
        <w:t>评价认为</w:t>
      </w:r>
      <w:r>
        <w:rPr>
          <w:rFonts w:hint="eastAsia" w:ascii="仿宋_GB2312" w:hAnsi="仿宋_GB2312" w:eastAsia="仿宋_GB2312" w:cs="仿宋_GB2312"/>
          <w:kern w:val="44"/>
        </w:rPr>
        <w:t>，项目总体目标较为完整，但绩效</w:t>
      </w:r>
      <w:r>
        <w:rPr>
          <w:rFonts w:hint="eastAsia" w:ascii="仿宋_GB2312" w:hAnsi="仿宋_GB2312" w:eastAsia="仿宋_GB2312" w:cs="仿宋_GB2312"/>
          <w:kern w:val="44"/>
          <w:lang w:eastAsia="zh-Hans"/>
        </w:rPr>
        <w:t>指</w:t>
      </w:r>
      <w:r>
        <w:rPr>
          <w:rFonts w:hint="eastAsia" w:ascii="仿宋_GB2312" w:hAnsi="仿宋_GB2312" w:eastAsia="仿宋_GB2312" w:cs="仿宋_GB2312"/>
          <w:kern w:val="44"/>
        </w:rPr>
        <w:t>标申报质量有待提高，</w:t>
      </w:r>
      <w:r>
        <w:rPr>
          <w:rFonts w:hint="eastAsia" w:ascii="仿宋_GB2312" w:hAnsi="仿宋_GB2312" w:eastAsia="仿宋_GB2312" w:cs="仿宋_GB2312"/>
          <w:kern w:val="44"/>
          <w:lang w:eastAsia="zh-Hans"/>
        </w:rPr>
        <w:t>如产出数量指标设置项目计划覆盖的自理、失能及失智三类老年人数量，但未明确项目计划覆盖残疾人的数量情况，产出数量指标与项目资金支持范围不对应；产出质量指标“补贴机构服务质量-得到提升”及</w:t>
      </w:r>
      <w:r>
        <w:rPr>
          <w:rFonts w:hint="eastAsia" w:ascii="仿宋_GB2312" w:hAnsi="仿宋_GB2312" w:eastAsia="仿宋_GB2312" w:cs="仿宋_GB2312"/>
          <w:kern w:val="44"/>
        </w:rPr>
        <w:t>社会效益指标“养老服务机构运营难改善情况</w:t>
      </w:r>
      <w:r>
        <w:rPr>
          <w:rFonts w:hint="eastAsia" w:ascii="仿宋_GB2312" w:hAnsi="仿宋_GB2312" w:eastAsia="仿宋_GB2312" w:cs="仿宋_GB2312"/>
          <w:kern w:val="44"/>
        </w:rPr>
        <w:tab/>
      </w:r>
      <w:r>
        <w:rPr>
          <w:rFonts w:hint="eastAsia" w:ascii="仿宋_GB2312" w:hAnsi="仿宋_GB2312" w:eastAsia="仿宋_GB2312" w:cs="仿宋_GB2312"/>
          <w:kern w:val="44"/>
        </w:rPr>
        <w:t>-有效改善”，</w:t>
      </w:r>
      <w:r>
        <w:rPr>
          <w:rFonts w:hint="eastAsia" w:ascii="仿宋_GB2312" w:hAnsi="仿宋_GB2312" w:eastAsia="仿宋_GB2312" w:cs="仿宋_GB2312"/>
          <w:kern w:val="44"/>
          <w:lang w:eastAsia="zh-Hans"/>
        </w:rPr>
        <w:t>未明确养老机构服务质量</w:t>
      </w:r>
      <w:r>
        <w:rPr>
          <w:rFonts w:hint="eastAsia" w:ascii="仿宋_GB2312" w:hAnsi="仿宋_GB2312" w:eastAsia="仿宋_GB2312" w:cs="仿宋_GB2312"/>
          <w:kern w:val="44"/>
        </w:rPr>
        <w:t>提升</w:t>
      </w:r>
      <w:r>
        <w:rPr>
          <w:rFonts w:hint="eastAsia" w:ascii="仿宋_GB2312" w:hAnsi="仿宋_GB2312" w:eastAsia="仿宋_GB2312" w:cs="仿宋_GB2312"/>
          <w:kern w:val="44"/>
          <w:lang w:eastAsia="zh-Hans"/>
        </w:rPr>
        <w:t>及运营情况</w:t>
      </w:r>
      <w:r>
        <w:rPr>
          <w:rFonts w:hint="eastAsia" w:ascii="仿宋_GB2312" w:hAnsi="仿宋_GB2312" w:eastAsia="仿宋_GB2312" w:cs="仿宋_GB2312"/>
          <w:kern w:val="44"/>
        </w:rPr>
        <w:t>改善</w:t>
      </w:r>
      <w:r>
        <w:rPr>
          <w:rFonts w:hint="eastAsia" w:ascii="仿宋_GB2312" w:hAnsi="仿宋_GB2312" w:eastAsia="仿宋_GB2312" w:cs="仿宋_GB2312"/>
          <w:kern w:val="44"/>
          <w:lang w:eastAsia="zh-Hans"/>
        </w:rPr>
        <w:t>的具体标准，</w:t>
      </w:r>
      <w:r>
        <w:rPr>
          <w:rFonts w:hint="eastAsia" w:ascii="仿宋_GB2312" w:hAnsi="仿宋_GB2312" w:eastAsia="仿宋_GB2312" w:cs="仿宋_GB2312"/>
          <w:color w:val="000000"/>
          <w:kern w:val="0"/>
          <w:sz w:val="31"/>
          <w:szCs w:val="31"/>
          <w:lang w:bidi="ar"/>
        </w:rPr>
        <w:t>指标</w:t>
      </w:r>
      <w:r>
        <w:rPr>
          <w:rFonts w:hint="eastAsia" w:ascii="仿宋_GB2312" w:hAnsi="仿宋_GB2312" w:eastAsia="仿宋_GB2312" w:cs="仿宋_GB2312"/>
          <w:kern w:val="44"/>
        </w:rPr>
        <w:t>可衡量性不足。</w:t>
      </w:r>
    </w:p>
    <w:p>
      <w:pPr>
        <w:pStyle w:val="4"/>
        <w:ind w:firstLine="643"/>
        <w:rPr>
          <w:rFonts w:hint="eastAsia" w:ascii="仿宋_GB2312" w:hAnsi="仿宋_GB2312" w:eastAsia="仿宋_GB2312" w:cs="仿宋_GB2312"/>
        </w:rPr>
      </w:pPr>
      <w:bookmarkStart w:id="89" w:name="_Toc103094568"/>
      <w:r>
        <w:rPr>
          <w:rFonts w:hint="eastAsia" w:ascii="仿宋_GB2312" w:hAnsi="仿宋_GB2312" w:eastAsia="仿宋_GB2312" w:cs="仿宋_GB2312"/>
        </w:rPr>
        <w:t>3.资金投入</w:t>
      </w:r>
      <w:bookmarkEnd w:id="89"/>
    </w:p>
    <w:p>
      <w:pPr>
        <w:ind w:firstLine="640"/>
        <w:rPr>
          <w:rFonts w:hint="eastAsia" w:ascii="仿宋_GB2312" w:hAnsi="仿宋_GB2312" w:eastAsia="仿宋_GB2312" w:cs="仿宋_GB2312"/>
          <w:kern w:val="44"/>
        </w:rPr>
      </w:pPr>
      <w:r>
        <w:rPr>
          <w:rFonts w:hint="eastAsia" w:ascii="仿宋_GB2312" w:hAnsi="仿宋_GB2312" w:eastAsia="仿宋_GB2312" w:cs="仿宋_GB2312"/>
          <w:kern w:val="44"/>
        </w:rPr>
        <w:t>（1）预算编制科学性分析</w:t>
      </w:r>
    </w:p>
    <w:p>
      <w:pPr>
        <w:shd w:val="clear" w:color="auto" w:fill="FFFFFF"/>
        <w:adjustRightInd w:val="0"/>
        <w:snapToGrid w:val="0"/>
        <w:ind w:firstLine="640"/>
        <w:rPr>
          <w:rFonts w:hint="eastAsia" w:ascii="仿宋_GB2312" w:hAnsi="仿宋_GB2312" w:eastAsia="仿宋_GB2312" w:cs="仿宋_GB2312"/>
          <w:bCs/>
          <w:kern w:val="44"/>
        </w:rPr>
      </w:pPr>
      <w:r>
        <w:rPr>
          <w:rFonts w:hint="eastAsia" w:ascii="仿宋_GB2312" w:hAnsi="仿宋_GB2312" w:eastAsia="仿宋_GB2312" w:cs="仿宋_GB2312"/>
          <w:bCs/>
          <w:szCs w:val="32"/>
          <w:lang w:eastAsia="zh-Hans"/>
        </w:rPr>
        <w:t>市民政局</w:t>
      </w:r>
      <w:r>
        <w:rPr>
          <w:rFonts w:hint="eastAsia" w:ascii="仿宋_GB2312" w:hAnsi="仿宋_GB2312" w:eastAsia="仿宋_GB2312" w:cs="仿宋_GB2312"/>
          <w:bCs/>
          <w:szCs w:val="32"/>
        </w:rPr>
        <w:t>按照</w:t>
      </w:r>
      <w:r>
        <w:rPr>
          <w:rFonts w:hint="eastAsia" w:ascii="仿宋_GB2312" w:hAnsi="仿宋_GB2312" w:eastAsia="仿宋_GB2312" w:cs="仿宋_GB2312"/>
          <w:lang w:eastAsia="zh-Hans"/>
        </w:rPr>
        <w:t>《北京市养老机构运营补贴管理办法》（京民福发〔2018〕411号）、《北京市民政局关于进一步做好养老机构运营补贴工作的通知》（京民养老发〔2020〕16号）等文件的要求，编制2022年度市对区补助预算。</w:t>
      </w:r>
      <w:r>
        <w:rPr>
          <w:rFonts w:hint="eastAsia" w:ascii="仿宋_GB2312" w:hAnsi="仿宋_GB2312" w:eastAsia="仿宋_GB2312" w:cs="仿宋_GB2312"/>
          <w:b/>
          <w:szCs w:val="32"/>
        </w:rPr>
        <w:t>评价认为，</w:t>
      </w:r>
      <w:r>
        <w:rPr>
          <w:rFonts w:hint="eastAsia" w:ascii="仿宋_GB2312" w:hAnsi="仿宋_GB2312" w:eastAsia="仿宋_GB2312" w:cs="仿宋_GB2312"/>
          <w:bCs/>
          <w:szCs w:val="32"/>
        </w:rPr>
        <w:t>项目预算编制过程较清晰，预算测算依据和测算标准明确，项目资金额度与年度目标</w:t>
      </w:r>
      <w:r>
        <w:rPr>
          <w:rFonts w:hint="eastAsia" w:ascii="仿宋_GB2312" w:hAnsi="仿宋_GB2312" w:eastAsia="仿宋_GB2312" w:cs="仿宋_GB2312"/>
          <w:bCs/>
          <w:szCs w:val="32"/>
          <w:lang w:eastAsia="zh-Hans"/>
        </w:rPr>
        <w:t>较</w:t>
      </w:r>
      <w:r>
        <w:rPr>
          <w:rFonts w:hint="eastAsia" w:ascii="仿宋_GB2312" w:hAnsi="仿宋_GB2312" w:eastAsia="仿宋_GB2312" w:cs="仿宋_GB2312"/>
          <w:bCs/>
          <w:szCs w:val="32"/>
        </w:rPr>
        <w:t>匹配。</w:t>
      </w:r>
    </w:p>
    <w:p>
      <w:pPr>
        <w:ind w:firstLine="640"/>
        <w:rPr>
          <w:rFonts w:hint="eastAsia" w:ascii="仿宋_GB2312" w:hAnsi="仿宋_GB2312" w:eastAsia="仿宋_GB2312" w:cs="仿宋_GB2312"/>
          <w:kern w:val="44"/>
        </w:rPr>
      </w:pPr>
      <w:r>
        <w:rPr>
          <w:rFonts w:hint="eastAsia" w:ascii="仿宋_GB2312" w:hAnsi="仿宋_GB2312" w:eastAsia="仿宋_GB2312" w:cs="仿宋_GB2312"/>
          <w:kern w:val="44"/>
        </w:rPr>
        <w:t>（2）资金分配合理性分析</w:t>
      </w:r>
    </w:p>
    <w:p>
      <w:pPr>
        <w:shd w:val="clear" w:color="auto" w:fill="FFFFFF"/>
        <w:adjustRightInd w:val="0"/>
        <w:snapToGrid w:val="0"/>
        <w:ind w:firstLine="640"/>
        <w:rPr>
          <w:rFonts w:hint="eastAsia" w:ascii="仿宋_GB2312" w:hAnsi="仿宋_GB2312" w:eastAsia="仿宋_GB2312" w:cs="仿宋_GB2312"/>
          <w:kern w:val="44"/>
          <w:lang w:eastAsia="zh-Hans"/>
        </w:rPr>
      </w:pPr>
      <w:bookmarkStart w:id="90" w:name="_Toc515586353"/>
      <w:bookmarkStart w:id="91" w:name="_Toc103096321"/>
      <w:bookmarkStart w:id="92" w:name="_Toc103094569"/>
      <w:r>
        <w:rPr>
          <w:rFonts w:hint="eastAsia" w:ascii="仿宋_GB2312" w:hAnsi="仿宋_GB2312" w:eastAsia="仿宋_GB2312" w:cs="仿宋_GB2312"/>
        </w:rPr>
        <w:t>全部补贴</w:t>
      </w:r>
      <w:r>
        <w:rPr>
          <w:rFonts w:hint="eastAsia" w:ascii="仿宋_GB2312" w:hAnsi="仿宋_GB2312" w:eastAsia="仿宋_GB2312" w:cs="仿宋_GB2312"/>
          <w:lang w:eastAsia="zh-Hans"/>
        </w:rPr>
        <w:t>资金由市、区两级财政共同负担，市财政通过专项转移支付</w:t>
      </w:r>
      <w:r>
        <w:rPr>
          <w:rFonts w:hint="eastAsia" w:ascii="仿宋_GB2312" w:hAnsi="仿宋_GB2312" w:eastAsia="仿宋_GB2312" w:cs="仿宋_GB2312"/>
        </w:rPr>
        <w:t>形式拨付各区</w:t>
      </w:r>
      <w:r>
        <w:rPr>
          <w:rFonts w:hint="eastAsia" w:ascii="仿宋_GB2312" w:hAnsi="仿宋_GB2312" w:eastAsia="仿宋_GB2312" w:cs="仿宋_GB2312"/>
          <w:lang w:eastAsia="zh-Hans"/>
        </w:rPr>
        <w:t>。</w:t>
      </w:r>
      <w:r>
        <w:rPr>
          <w:rFonts w:hint="eastAsia" w:ascii="仿宋_GB2312" w:hAnsi="仿宋_GB2312" w:eastAsia="仿宋_GB2312" w:cs="仿宋_GB2312"/>
        </w:rPr>
        <w:t>2021年，市民政局</w:t>
      </w:r>
      <w:r>
        <w:rPr>
          <w:rFonts w:hint="eastAsia" w:ascii="仿宋_GB2312" w:hAnsi="仿宋_GB2312" w:eastAsia="仿宋_GB2312" w:cs="仿宋_GB2312"/>
          <w:lang w:eastAsia="zh-Hans"/>
        </w:rPr>
        <w:t>以截至</w:t>
      </w:r>
      <w:r>
        <w:rPr>
          <w:rFonts w:hint="eastAsia" w:ascii="仿宋_GB2312" w:hAnsi="仿宋_GB2312" w:eastAsia="仿宋_GB2312" w:cs="仿宋_GB2312"/>
        </w:rPr>
        <w:t>当年</w:t>
      </w:r>
      <w:r>
        <w:rPr>
          <w:rFonts w:hint="eastAsia" w:ascii="仿宋_GB2312" w:hAnsi="仿宋_GB2312" w:eastAsia="仿宋_GB2312" w:cs="仿宋_GB2312"/>
          <w:lang w:eastAsia="zh-Hans"/>
        </w:rPr>
        <w:t>8月31日各区入住养老机构老年人、残疾人</w:t>
      </w:r>
      <w:r>
        <w:rPr>
          <w:rFonts w:hint="eastAsia" w:ascii="仿宋_GB2312" w:hAnsi="仿宋_GB2312" w:eastAsia="仿宋_GB2312" w:cs="仿宋_GB2312"/>
        </w:rPr>
        <w:t>数量</w:t>
      </w:r>
      <w:r>
        <w:rPr>
          <w:rFonts w:hint="eastAsia" w:ascii="仿宋_GB2312" w:hAnsi="仿宋_GB2312" w:eastAsia="仿宋_GB2312" w:cs="仿宋_GB2312"/>
          <w:lang w:eastAsia="zh-Hans"/>
        </w:rPr>
        <w:t>，</w:t>
      </w:r>
      <w:r>
        <w:rPr>
          <w:rFonts w:hint="eastAsia" w:ascii="仿宋_GB2312" w:hAnsi="仿宋_GB2312" w:eastAsia="仿宋_GB2312" w:cs="仿宋_GB2312"/>
        </w:rPr>
        <w:t>确定2022年分配</w:t>
      </w:r>
      <w:r>
        <w:rPr>
          <w:rFonts w:hint="eastAsia" w:ascii="仿宋_GB2312" w:hAnsi="仿宋_GB2312" w:eastAsia="仿宋_GB2312" w:cs="仿宋_GB2312"/>
          <w:lang w:eastAsia="zh-Hans"/>
        </w:rPr>
        <w:t>各区</w:t>
      </w:r>
      <w:r>
        <w:rPr>
          <w:rFonts w:hint="eastAsia" w:ascii="仿宋_GB2312" w:hAnsi="仿宋_GB2312" w:eastAsia="仿宋_GB2312" w:cs="仿宋_GB2312"/>
        </w:rPr>
        <w:t>的</w:t>
      </w:r>
      <w:r>
        <w:rPr>
          <w:rFonts w:hint="eastAsia" w:ascii="仿宋_GB2312" w:hAnsi="仿宋_GB2312" w:eastAsia="仿宋_GB2312" w:cs="仿宋_GB2312"/>
          <w:lang w:eastAsia="zh-Hans"/>
        </w:rPr>
        <w:t>市</w:t>
      </w:r>
      <w:r>
        <w:rPr>
          <w:rFonts w:hint="eastAsia" w:ascii="仿宋_GB2312" w:hAnsi="仿宋_GB2312" w:eastAsia="仿宋_GB2312" w:cs="仿宋_GB2312"/>
        </w:rPr>
        <w:t>级</w:t>
      </w:r>
      <w:r>
        <w:rPr>
          <w:rFonts w:hint="eastAsia" w:ascii="仿宋_GB2312" w:hAnsi="仿宋_GB2312" w:eastAsia="仿宋_GB2312" w:cs="仿宋_GB2312"/>
          <w:lang w:eastAsia="zh-Hans"/>
        </w:rPr>
        <w:t>资金</w:t>
      </w:r>
      <w:r>
        <w:rPr>
          <w:rFonts w:hint="eastAsia" w:ascii="仿宋_GB2312" w:hAnsi="仿宋_GB2312" w:eastAsia="仿宋_GB2312" w:cs="仿宋_GB2312"/>
        </w:rPr>
        <w:t>规模，</w:t>
      </w:r>
      <w:r>
        <w:rPr>
          <w:rFonts w:hint="eastAsia" w:ascii="仿宋_GB2312" w:hAnsi="仿宋_GB2312" w:eastAsia="仿宋_GB2312" w:cs="仿宋_GB2312"/>
          <w:lang w:eastAsia="zh-Hans"/>
        </w:rPr>
        <w:t>并对门头沟、怀柔、平谷、密云、延庆5个生态涵养区上浮补助20%，对房山、通州、顺义、昌平、大兴5个发展新区上浮补助10%。</w:t>
      </w:r>
      <w:r>
        <w:rPr>
          <w:rFonts w:hint="eastAsia" w:ascii="仿宋_GB2312" w:hAnsi="仿宋_GB2312" w:eastAsia="仿宋_GB2312" w:cs="仿宋_GB2312"/>
          <w:b/>
          <w:bCs/>
        </w:rPr>
        <w:t>评价认为，</w:t>
      </w:r>
      <w:r>
        <w:rPr>
          <w:rFonts w:hint="eastAsia" w:ascii="仿宋_GB2312" w:hAnsi="仿宋_GB2312" w:eastAsia="仿宋_GB2312" w:cs="仿宋_GB2312"/>
          <w:lang w:eastAsia="zh-Hans"/>
        </w:rPr>
        <w:t>预算测算</w:t>
      </w:r>
      <w:r>
        <w:rPr>
          <w:rFonts w:hint="eastAsia" w:ascii="仿宋_GB2312" w:hAnsi="仿宋_GB2312" w:eastAsia="仿宋_GB2312" w:cs="仿宋_GB2312"/>
        </w:rPr>
        <w:t>依据的</w:t>
      </w:r>
      <w:r>
        <w:rPr>
          <w:rFonts w:hint="eastAsia" w:ascii="仿宋_GB2312" w:hAnsi="仿宋_GB2312" w:eastAsia="仿宋_GB2312" w:cs="仿宋_GB2312"/>
          <w:lang w:eastAsia="zh-Hans"/>
        </w:rPr>
        <w:t>服务对象</w:t>
      </w:r>
      <w:r>
        <w:rPr>
          <w:rFonts w:hint="eastAsia" w:ascii="仿宋_GB2312" w:hAnsi="仿宋_GB2312" w:eastAsia="仿宋_GB2312" w:cs="仿宋_GB2312"/>
        </w:rPr>
        <w:t>数据</w:t>
      </w:r>
      <w:r>
        <w:rPr>
          <w:rFonts w:hint="eastAsia" w:ascii="仿宋_GB2312" w:hAnsi="仿宋_GB2312" w:eastAsia="仿宋_GB2312" w:cs="仿宋_GB2312"/>
          <w:lang w:eastAsia="zh-Hans"/>
        </w:rPr>
        <w:t>来源于各区，数据审核机制不</w:t>
      </w:r>
      <w:r>
        <w:rPr>
          <w:rFonts w:hint="eastAsia" w:ascii="仿宋_GB2312" w:hAnsi="仿宋_GB2312" w:eastAsia="仿宋_GB2312" w:cs="仿宋_GB2312"/>
        </w:rPr>
        <w:t>够</w:t>
      </w:r>
      <w:r>
        <w:rPr>
          <w:rFonts w:hint="eastAsia" w:ascii="仿宋_GB2312" w:hAnsi="仿宋_GB2312" w:eastAsia="仿宋_GB2312" w:cs="仿宋_GB2312"/>
          <w:lang w:eastAsia="zh-Hans"/>
        </w:rPr>
        <w:t>完善，</w:t>
      </w:r>
      <w:r>
        <w:rPr>
          <w:rFonts w:hint="eastAsia" w:ascii="仿宋_GB2312" w:hAnsi="仿宋_GB2312" w:eastAsia="仿宋_GB2312" w:cs="仿宋_GB2312"/>
        </w:rPr>
        <w:t>且</w:t>
      </w:r>
      <w:r>
        <w:rPr>
          <w:rFonts w:hint="eastAsia" w:ascii="仿宋_GB2312" w:hAnsi="仿宋_GB2312" w:eastAsia="仿宋_GB2312" w:cs="仿宋_GB2312"/>
          <w:lang w:eastAsia="zh-Hans"/>
        </w:rPr>
        <w:t>未对区级财政承受能力开展全面调研，一</w:t>
      </w:r>
      <w:r>
        <w:rPr>
          <w:rFonts w:hint="eastAsia" w:ascii="仿宋_GB2312" w:hAnsi="仿宋_GB2312" w:eastAsia="仿宋_GB2312" w:cs="仿宋_GB2312"/>
        </w:rPr>
        <w:t>定</w:t>
      </w:r>
      <w:r>
        <w:rPr>
          <w:rFonts w:hint="eastAsia" w:ascii="仿宋_GB2312" w:hAnsi="仿宋_GB2312" w:eastAsia="仿宋_GB2312" w:cs="仿宋_GB2312"/>
          <w:lang w:eastAsia="zh-Hans"/>
        </w:rPr>
        <w:t>程度上影响资金分配合理性。</w:t>
      </w:r>
    </w:p>
    <w:p>
      <w:pPr>
        <w:ind w:firstLine="640"/>
        <w:outlineLvl w:val="1"/>
        <w:rPr>
          <w:rFonts w:hint="eastAsia" w:ascii="楷体_GB2312" w:hAnsi="楷体_GB2312" w:eastAsia="楷体_GB2312" w:cs="楷体_GB2312"/>
          <w:b/>
          <w:bCs/>
        </w:rPr>
      </w:pPr>
      <w:bookmarkStart w:id="93" w:name="_Toc92492489"/>
      <w:bookmarkStart w:id="94" w:name="_Toc611261701"/>
      <w:bookmarkStart w:id="95" w:name="_Toc785277393"/>
      <w:r>
        <w:rPr>
          <w:rFonts w:hint="eastAsia" w:ascii="楷体_GB2312" w:hAnsi="楷体_GB2312" w:eastAsia="楷体_GB2312" w:cs="楷体_GB2312"/>
          <w:bCs/>
        </w:rPr>
        <w:t>（二）项目</w:t>
      </w:r>
      <w:bookmarkEnd w:id="90"/>
      <w:r>
        <w:rPr>
          <w:rFonts w:hint="eastAsia" w:ascii="楷体_GB2312" w:hAnsi="楷体_GB2312" w:eastAsia="楷体_GB2312" w:cs="楷体_GB2312"/>
          <w:bCs/>
        </w:rPr>
        <w:t>过程情况</w:t>
      </w:r>
      <w:bookmarkEnd w:id="91"/>
      <w:bookmarkEnd w:id="92"/>
      <w:bookmarkEnd w:id="93"/>
      <w:bookmarkEnd w:id="94"/>
      <w:bookmarkEnd w:id="95"/>
    </w:p>
    <w:p>
      <w:pPr>
        <w:pStyle w:val="4"/>
        <w:keepNext w:val="0"/>
        <w:keepLines w:val="0"/>
        <w:ind w:firstLine="643"/>
        <w:rPr>
          <w:rFonts w:hint="eastAsia" w:ascii="仿宋_GB2312" w:hAnsi="仿宋_GB2312" w:eastAsia="仿宋_GB2312" w:cs="仿宋_GB2312"/>
        </w:rPr>
      </w:pPr>
      <w:bookmarkStart w:id="96" w:name="_Toc103094570"/>
      <w:r>
        <w:rPr>
          <w:rFonts w:hint="eastAsia" w:ascii="仿宋_GB2312" w:hAnsi="仿宋_GB2312" w:eastAsia="仿宋_GB2312" w:cs="仿宋_GB2312"/>
        </w:rPr>
        <w:t>1.资金管理</w:t>
      </w:r>
      <w:bookmarkEnd w:id="96"/>
    </w:p>
    <w:p>
      <w:pPr>
        <w:ind w:firstLine="640"/>
        <w:rPr>
          <w:rFonts w:hint="eastAsia" w:ascii="仿宋_GB2312" w:hAnsi="仿宋_GB2312" w:eastAsia="仿宋_GB2312" w:cs="仿宋_GB2312"/>
        </w:rPr>
      </w:pPr>
      <w:r>
        <w:rPr>
          <w:rFonts w:hint="eastAsia" w:ascii="仿宋_GB2312" w:hAnsi="仿宋_GB2312" w:eastAsia="仿宋_GB2312" w:cs="仿宋_GB2312"/>
          <w:bCs/>
          <w:lang w:eastAsia="zh-Hans"/>
        </w:rPr>
        <w:t>2022年，社会办养老机构床位运营补贴</w:t>
      </w:r>
      <w:r>
        <w:rPr>
          <w:rFonts w:hint="eastAsia" w:ascii="仿宋_GB2312" w:hAnsi="仿宋_GB2312" w:eastAsia="仿宋_GB2312" w:cs="仿宋_GB2312"/>
          <w:bCs/>
        </w:rPr>
        <w:t>市级</w:t>
      </w:r>
      <w:r>
        <w:rPr>
          <w:rFonts w:hint="eastAsia" w:ascii="仿宋_GB2312" w:hAnsi="仿宋_GB2312" w:eastAsia="仿宋_GB2312" w:cs="仿宋_GB2312"/>
          <w:bCs/>
          <w:lang w:eastAsia="zh-Hans"/>
        </w:rPr>
        <w:t>预算共31,566.21万元，</w:t>
      </w:r>
      <w:r>
        <w:rPr>
          <w:rFonts w:hint="eastAsia" w:ascii="仿宋_GB2312" w:hAnsi="仿宋_GB2312" w:eastAsia="仿宋_GB2312" w:cs="仿宋_GB2312"/>
        </w:rPr>
        <w:t>截至2022年12月</w:t>
      </w:r>
      <w:r>
        <w:rPr>
          <w:rFonts w:hint="eastAsia" w:ascii="仿宋_GB2312" w:hAnsi="仿宋_GB2312" w:eastAsia="仿宋_GB2312" w:cs="仿宋_GB2312"/>
          <w:lang w:eastAsia="zh-Hans"/>
        </w:rPr>
        <w:t>底</w:t>
      </w:r>
      <w:r>
        <w:rPr>
          <w:rFonts w:hint="eastAsia" w:ascii="仿宋_GB2312" w:hAnsi="仿宋_GB2312" w:eastAsia="仿宋_GB2312" w:cs="仿宋_GB2312"/>
        </w:rPr>
        <w:t>，预算资金全部到位，各区</w:t>
      </w:r>
      <w:r>
        <w:rPr>
          <w:rFonts w:hint="eastAsia" w:ascii="仿宋_GB2312" w:hAnsi="仿宋_GB2312" w:eastAsia="仿宋_GB2312" w:cs="仿宋_GB2312"/>
          <w:bCs/>
          <w:lang w:eastAsia="zh-Hans"/>
        </w:rPr>
        <w:t>共支出资金27,160.44万元，预算执行率86.04%；截至2023年4月底，</w:t>
      </w:r>
      <w:r>
        <w:rPr>
          <w:rFonts w:hint="eastAsia" w:ascii="仿宋_GB2312" w:hAnsi="仿宋_GB2312" w:eastAsia="仿宋_GB2312" w:cs="仿宋_GB2312"/>
          <w:bCs/>
        </w:rPr>
        <w:t>各区</w:t>
      </w:r>
      <w:r>
        <w:rPr>
          <w:rFonts w:hint="eastAsia" w:ascii="仿宋_GB2312" w:hAnsi="仿宋_GB2312" w:eastAsia="仿宋_GB2312" w:cs="仿宋_GB2312"/>
          <w:bCs/>
          <w:lang w:eastAsia="zh-Hans"/>
        </w:rPr>
        <w:t>共支出资金28,460.59万元，预算执行率90.16%。</w:t>
      </w:r>
      <w:r>
        <w:rPr>
          <w:rFonts w:hint="eastAsia" w:ascii="仿宋_GB2312" w:hAnsi="仿宋_GB2312" w:eastAsia="仿宋_GB2312" w:cs="仿宋_GB2312"/>
          <w:b/>
          <w:bCs/>
          <w:lang w:eastAsia="zh-Hans"/>
        </w:rPr>
        <w:t>评价认为</w:t>
      </w:r>
      <w:r>
        <w:rPr>
          <w:rFonts w:hint="eastAsia" w:ascii="仿宋_GB2312" w:hAnsi="仿宋_GB2312" w:eastAsia="仿宋_GB2312" w:cs="仿宋_GB2312"/>
          <w:lang w:eastAsia="zh-Hans"/>
        </w:rPr>
        <w:t>，该项目</w:t>
      </w:r>
      <w:r>
        <w:rPr>
          <w:rFonts w:hint="eastAsia" w:ascii="仿宋_GB2312" w:hAnsi="仿宋_GB2312" w:eastAsia="仿宋_GB2312" w:cs="仿宋_GB2312"/>
          <w:bCs/>
          <w:szCs w:val="32"/>
        </w:rPr>
        <w:t>预算资金到位及时、足额，</w:t>
      </w:r>
      <w:r>
        <w:rPr>
          <w:rFonts w:hint="eastAsia" w:ascii="仿宋_GB2312" w:hAnsi="仿宋_GB2312" w:eastAsia="仿宋_GB2312" w:cs="仿宋_GB2312"/>
          <w:bCs/>
          <w:szCs w:val="32"/>
          <w:lang w:eastAsia="zh-Hans"/>
        </w:rPr>
        <w:t>但由于审核流程时间较长、疫情防控一级响应期间全市养老服务机构封闭管理等因素，</w:t>
      </w:r>
      <w:r>
        <w:rPr>
          <w:rFonts w:hint="eastAsia" w:ascii="仿宋_GB2312" w:hAnsi="仿宋_GB2312" w:eastAsia="仿宋_GB2312" w:cs="仿宋_GB2312"/>
          <w:bCs/>
          <w:szCs w:val="32"/>
        </w:rPr>
        <w:t>各区预算执行较为</w:t>
      </w:r>
      <w:r>
        <w:rPr>
          <w:rFonts w:hint="eastAsia" w:ascii="仿宋_GB2312" w:hAnsi="仿宋_GB2312" w:eastAsia="仿宋_GB2312" w:cs="仿宋_GB2312"/>
          <w:bCs/>
          <w:szCs w:val="32"/>
          <w:lang w:eastAsia="zh-Hans"/>
        </w:rPr>
        <w:t>滞后</w:t>
      </w:r>
      <w:r>
        <w:rPr>
          <w:rFonts w:hint="eastAsia" w:ascii="仿宋_GB2312" w:hAnsi="仿宋_GB2312" w:eastAsia="仿宋_GB2312" w:cs="仿宋_GB2312"/>
        </w:rPr>
        <w:t>。</w:t>
      </w:r>
    </w:p>
    <w:p>
      <w:pPr>
        <w:adjustRightInd w:val="0"/>
        <w:snapToGrid w:val="0"/>
        <w:spacing w:line="580" w:lineRule="exact"/>
        <w:ind w:firstLine="640"/>
        <w:rPr>
          <w:rFonts w:hint="eastAsia" w:ascii="仿宋_GB2312" w:hAnsi="仿宋_GB2312" w:eastAsia="仿宋_GB2312" w:cs="仿宋_GB2312"/>
          <w:bCs/>
          <w:lang w:eastAsia="zh-Hans"/>
        </w:rPr>
      </w:pPr>
      <w:r>
        <w:rPr>
          <w:rFonts w:hint="eastAsia" w:ascii="仿宋_GB2312" w:hAnsi="仿宋_GB2312" w:eastAsia="仿宋_GB2312" w:cs="仿宋_GB2312"/>
          <w:bCs/>
          <w:lang w:eastAsia="zh-Hans"/>
        </w:rPr>
        <w:t>市民政局根据</w:t>
      </w:r>
      <w:r>
        <w:rPr>
          <w:rFonts w:hint="eastAsia" w:ascii="仿宋_GB2312" w:hAnsi="仿宋_GB2312" w:eastAsia="仿宋_GB2312" w:cs="仿宋_GB2312"/>
          <w:lang w:eastAsia="zh-Hans"/>
        </w:rPr>
        <w:t>《北京市养老机构运营补贴管理办法》（京民福发〔2018〕411号）、《北京市民政局关于进一步做好养老机构运营补贴工作的通知》（京民养老发〔2020〕16号）、</w:t>
      </w:r>
      <w:r>
        <w:rPr>
          <w:rFonts w:hint="eastAsia" w:ascii="仿宋_GB2312" w:hAnsi="仿宋_GB2312" w:eastAsia="仿宋_GB2312" w:cs="仿宋_GB2312"/>
          <w:bCs/>
          <w:lang w:eastAsia="zh-Hans"/>
        </w:rPr>
        <w:t>《北京市专项转移支付管理办法》（</w:t>
      </w:r>
      <w:r>
        <w:rPr>
          <w:rFonts w:hint="eastAsia" w:ascii="仿宋_GB2312" w:hAnsi="仿宋_GB2312" w:eastAsia="仿宋_GB2312" w:cs="仿宋_GB2312"/>
          <w:bCs/>
          <w:lang w:val="en" w:eastAsia="zh-Hans"/>
        </w:rPr>
        <w:t>京财预〔2016〕947号</w:t>
      </w:r>
      <w:r>
        <w:rPr>
          <w:rFonts w:hint="eastAsia" w:ascii="仿宋_GB2312" w:hAnsi="仿宋_GB2312" w:eastAsia="仿宋_GB2312" w:cs="仿宋_GB2312"/>
          <w:bCs/>
          <w:lang w:eastAsia="zh-Hans"/>
        </w:rPr>
        <w:t>）、《关于修订&lt;北京市社会保障和就业专项转移支付资金管理办法&gt;的通知》（京财社〔2020〕452号）等资金管理办法，对项目资金进行管理，按照批复的预算安排支出。</w:t>
      </w:r>
    </w:p>
    <w:p>
      <w:pPr>
        <w:adjustRightInd w:val="0"/>
        <w:snapToGrid w:val="0"/>
        <w:spacing w:line="580" w:lineRule="exact"/>
        <w:ind w:firstLine="643"/>
        <w:rPr>
          <w:rFonts w:hint="eastAsia" w:ascii="仿宋_GB2312" w:hAnsi="仿宋_GB2312" w:eastAsia="仿宋_GB2312" w:cs="仿宋_GB2312"/>
          <w:lang w:eastAsia="zh-Hans"/>
        </w:rPr>
      </w:pPr>
      <w:r>
        <w:rPr>
          <w:rFonts w:hint="eastAsia" w:ascii="仿宋_GB2312" w:hAnsi="仿宋_GB2312" w:eastAsia="仿宋_GB2312" w:cs="仿宋_GB2312"/>
          <w:b/>
          <w:bCs/>
          <w:lang w:eastAsia="zh-Hans"/>
        </w:rPr>
        <w:t>评价认为</w:t>
      </w:r>
      <w:r>
        <w:rPr>
          <w:rFonts w:hint="eastAsia" w:ascii="仿宋_GB2312" w:hAnsi="仿宋_GB2312" w:eastAsia="仿宋_GB2312" w:cs="仿宋_GB2312"/>
          <w:lang w:eastAsia="zh-Hans"/>
        </w:rPr>
        <w:t>，该项目资金管理制度较为健全，支出流程较为规范清晰，但根据《北京市民政局养老服务机构运营补贴资金专项审计报告》，在养老机构层面资金使用合规性存在以下问题：</w:t>
      </w:r>
    </w:p>
    <w:p>
      <w:pPr>
        <w:adjustRightInd w:val="0"/>
        <w:snapToGrid w:val="0"/>
        <w:spacing w:line="580" w:lineRule="exact"/>
        <w:ind w:firstLine="640"/>
        <w:rPr>
          <w:rFonts w:hint="eastAsia" w:ascii="仿宋_GB2312" w:hAnsi="仿宋_GB2312" w:eastAsia="仿宋_GB2312" w:cs="仿宋_GB2312"/>
        </w:rPr>
      </w:pPr>
      <w:r>
        <w:rPr>
          <w:rFonts w:hint="eastAsia" w:ascii="仿宋_GB2312" w:hAnsi="仿宋_GB2312" w:eastAsia="仿宋_GB2312" w:cs="仿宋_GB2312"/>
          <w:lang w:eastAsia="zh-Hans"/>
        </w:rPr>
        <w:t>一是个别被审计养老机构</w:t>
      </w:r>
      <w:r>
        <w:rPr>
          <w:rFonts w:hint="eastAsia" w:ascii="仿宋_GB2312" w:hAnsi="仿宋_GB2312" w:eastAsia="仿宋_GB2312" w:cs="仿宋_GB2312"/>
        </w:rPr>
        <w:t>未单独核算运营补贴资金，不符合《北京市民政局关于进一步做好养老机构运营补贴工作的通知》（京民养老发〔2020〕16号）“养老机构应完善财务会计制度和运营补贴资金使用管理制度，为运营补贴资金设立单独核算科目”的规定。</w:t>
      </w:r>
    </w:p>
    <w:p>
      <w:pPr>
        <w:adjustRightInd w:val="0"/>
        <w:snapToGrid w:val="0"/>
        <w:spacing w:line="580" w:lineRule="exact"/>
        <w:ind w:firstLine="640"/>
        <w:rPr>
          <w:rFonts w:hint="eastAsia" w:ascii="仿宋_GB2312" w:hAnsi="仿宋_GB2312" w:eastAsia="仿宋_GB2312" w:cs="仿宋_GB2312"/>
          <w:lang w:eastAsia="zh-Hans"/>
        </w:rPr>
      </w:pPr>
      <w:r>
        <w:rPr>
          <w:rFonts w:hint="eastAsia" w:ascii="仿宋_GB2312" w:hAnsi="仿宋_GB2312" w:eastAsia="仿宋_GB2312" w:cs="仿宋_GB2312"/>
          <w:lang w:eastAsia="zh-Hans"/>
        </w:rPr>
        <w:t>二是个别被审计养老机构会计核算不规范，如将运营补贴收入计入“其他应付款”，发生运营补贴支出直接冲减“其他应付款”；将运营补助</w:t>
      </w:r>
      <w:r>
        <w:rPr>
          <w:rFonts w:hint="eastAsia" w:ascii="仿宋_GB2312" w:hAnsi="仿宋_GB2312" w:eastAsia="仿宋_GB2312" w:cs="仿宋_GB2312"/>
        </w:rPr>
        <w:t>资金</w:t>
      </w:r>
      <w:r>
        <w:rPr>
          <w:rFonts w:hint="eastAsia" w:ascii="仿宋_GB2312" w:hAnsi="仿宋_GB2312" w:eastAsia="仿宋_GB2312" w:cs="仿宋_GB2312"/>
          <w:lang w:eastAsia="zh-Hans"/>
        </w:rPr>
        <w:t>计入“主营业务收入”。</w:t>
      </w:r>
    </w:p>
    <w:p>
      <w:pPr>
        <w:adjustRightInd w:val="0"/>
        <w:snapToGrid w:val="0"/>
        <w:spacing w:line="580" w:lineRule="exact"/>
        <w:ind w:firstLine="640"/>
        <w:rPr>
          <w:rFonts w:hint="eastAsia" w:ascii="仿宋_GB2312" w:hAnsi="仿宋_GB2312" w:eastAsia="仿宋_GB2312" w:cs="仿宋_GB2312"/>
          <w:lang w:eastAsia="zh-Hans"/>
        </w:rPr>
      </w:pPr>
      <w:r>
        <w:rPr>
          <w:rFonts w:hint="eastAsia" w:ascii="仿宋_GB2312" w:hAnsi="仿宋_GB2312" w:eastAsia="仿宋_GB2312" w:cs="仿宋_GB2312"/>
          <w:lang w:eastAsia="zh-Hans"/>
        </w:rPr>
        <w:t>三是个别被审计养老机构超范围支出运营补贴资金，如使用运营补贴支出电话费、审计费、医养结合服务费、定制亚克力板、雪铲、马桶夹</w:t>
      </w:r>
      <w:r>
        <w:rPr>
          <w:rFonts w:hint="eastAsia" w:ascii="仿宋_GB2312" w:hAnsi="仿宋_GB2312" w:eastAsia="仿宋_GB2312" w:cs="仿宋_GB2312"/>
        </w:rPr>
        <w:t>等</w:t>
      </w:r>
      <w:r>
        <w:rPr>
          <w:rFonts w:hint="eastAsia" w:ascii="仿宋_GB2312" w:hAnsi="仿宋_GB2312" w:eastAsia="仿宋_GB2312" w:cs="仿宋_GB2312"/>
          <w:lang w:eastAsia="zh-Hans"/>
        </w:rPr>
        <w:t>，不符合《北京市民政局关于进一步做好养老机构运营补贴工作的通知》</w:t>
      </w:r>
      <w:r>
        <w:rPr>
          <w:rFonts w:hint="eastAsia" w:ascii="仿宋_GB2312" w:hAnsi="仿宋_GB2312" w:eastAsia="仿宋_GB2312" w:cs="仿宋_GB2312"/>
        </w:rPr>
        <w:t>（京民养老发〔2020〕16号）“</w:t>
      </w:r>
      <w:r>
        <w:rPr>
          <w:rFonts w:hint="eastAsia" w:ascii="仿宋_GB2312" w:hAnsi="仿宋_GB2312" w:eastAsia="仿宋_GB2312" w:cs="仿宋_GB2312"/>
          <w:lang w:eastAsia="zh-Hans"/>
        </w:rPr>
        <w:t>养老机构运营补贴资金只用于养老机构水电气热费用支出、从业人员培训和工资发放、消防设施设备购置和改造、老人公共空间和居室设施设备提升改造、老年人能力评估，不得转入个人账户，不得挪作他用</w:t>
      </w:r>
      <w:r>
        <w:rPr>
          <w:rFonts w:hint="eastAsia" w:ascii="仿宋_GB2312" w:hAnsi="仿宋_GB2312" w:eastAsia="仿宋_GB2312" w:cs="仿宋_GB2312"/>
        </w:rPr>
        <w:t>”</w:t>
      </w:r>
      <w:r>
        <w:rPr>
          <w:rFonts w:hint="eastAsia" w:ascii="仿宋_GB2312" w:hAnsi="仿宋_GB2312" w:eastAsia="仿宋_GB2312" w:cs="仿宋_GB2312"/>
          <w:lang w:eastAsia="zh-Hans"/>
        </w:rPr>
        <w:t>的规定。</w:t>
      </w:r>
    </w:p>
    <w:p>
      <w:pPr>
        <w:pStyle w:val="4"/>
        <w:keepNext w:val="0"/>
        <w:keepLines w:val="0"/>
        <w:ind w:firstLine="643"/>
        <w:rPr>
          <w:rFonts w:hint="eastAsia" w:ascii="仿宋_GB2312" w:hAnsi="仿宋_GB2312" w:eastAsia="仿宋_GB2312" w:cs="仿宋_GB2312"/>
        </w:rPr>
      </w:pPr>
      <w:bookmarkStart w:id="97" w:name="_Toc103094571"/>
      <w:r>
        <w:rPr>
          <w:rFonts w:hint="eastAsia" w:ascii="仿宋_GB2312" w:hAnsi="仿宋_GB2312" w:eastAsia="仿宋_GB2312" w:cs="仿宋_GB2312"/>
        </w:rPr>
        <w:t>2.组织实施</w:t>
      </w:r>
      <w:bookmarkEnd w:id="97"/>
    </w:p>
    <w:p>
      <w:pPr>
        <w:adjustRightInd w:val="0"/>
        <w:snapToGrid w:val="0"/>
        <w:ind w:firstLine="643"/>
        <w:rPr>
          <w:rFonts w:hint="eastAsia" w:ascii="仿宋_GB2312" w:hAnsi="仿宋_GB2312" w:eastAsia="仿宋_GB2312" w:cs="仿宋_GB2312"/>
          <w:lang w:eastAsia="zh-Hans"/>
        </w:rPr>
      </w:pPr>
      <w:r>
        <w:rPr>
          <w:rFonts w:hint="eastAsia" w:ascii="仿宋_GB2312" w:hAnsi="仿宋_GB2312" w:eastAsia="仿宋_GB2312" w:cs="仿宋_GB2312"/>
          <w:b/>
          <w:bCs/>
          <w:lang w:eastAsia="zh-Hans"/>
        </w:rPr>
        <w:t>制度建设方面</w:t>
      </w:r>
      <w:r>
        <w:rPr>
          <w:rFonts w:hint="eastAsia" w:ascii="仿宋_GB2312" w:hAnsi="仿宋_GB2312" w:eastAsia="仿宋_GB2312" w:cs="仿宋_GB2312"/>
          <w:lang w:eastAsia="zh-Hans"/>
        </w:rPr>
        <w:t>，为规范项目管理，市民政局制定了《北京市养老机构运营补贴管理办法》（京民福发〔2018〕411号），并于2020年印发了《北京市民政局关于进一步做好养老机构运营补贴工作的通知》</w:t>
      </w:r>
      <w:r>
        <w:rPr>
          <w:rFonts w:hint="eastAsia" w:ascii="仿宋_GB2312" w:hAnsi="仿宋_GB2312" w:eastAsia="仿宋_GB2312" w:cs="仿宋_GB2312"/>
        </w:rPr>
        <w:t>（京民养老发〔202</w:t>
      </w:r>
      <w:r>
        <w:rPr>
          <w:rFonts w:hint="eastAsia" w:ascii="仿宋_GB2312" w:hAnsi="仿宋_GB2312" w:eastAsia="仿宋_GB2312" w:cs="仿宋_GB2312"/>
          <w:lang w:eastAsia="zh-Hans"/>
        </w:rPr>
        <w:t>0〕16号），就规范运营补贴发放程序等作出进一步细化规定；建立了一系列配套制度，如《北京市养老服务机构信用信息管理使用办法》（京民福发〔2018〕419号）、《北京市老年人能力综合评估实施办法（试行）》（京民养老发〔2019〕42号）、《北京市民政局关于做好养老服务机构服务质量星级评定工作的通知》（京民养老发〔2019〕113号）、《北京市养老机构服务质量星级评定管理办法》（京民养老发〔2022〕248号），为补贴政策落地</w:t>
      </w:r>
      <w:r>
        <w:rPr>
          <w:rFonts w:hint="eastAsia" w:ascii="仿宋_GB2312" w:hAnsi="仿宋_GB2312" w:eastAsia="仿宋_GB2312" w:cs="仿宋_GB2312"/>
        </w:rPr>
        <w:t>提供支撑</w:t>
      </w:r>
      <w:r>
        <w:rPr>
          <w:rFonts w:hint="eastAsia" w:ascii="仿宋_GB2312" w:hAnsi="仿宋_GB2312" w:eastAsia="仿宋_GB2312" w:cs="仿宋_GB2312"/>
          <w:lang w:eastAsia="zh-Hans"/>
        </w:rPr>
        <w:t>。</w:t>
      </w:r>
    </w:p>
    <w:p>
      <w:pPr>
        <w:adjustRightInd w:val="0"/>
        <w:snapToGrid w:val="0"/>
        <w:ind w:firstLine="643"/>
        <w:rPr>
          <w:rFonts w:hint="eastAsia" w:ascii="仿宋_GB2312" w:hAnsi="仿宋_GB2312" w:eastAsia="仿宋_GB2312" w:cs="仿宋_GB2312"/>
          <w:szCs w:val="32"/>
          <w:lang w:eastAsia="zh-Hans"/>
        </w:rPr>
      </w:pPr>
      <w:r>
        <w:rPr>
          <w:rFonts w:hint="eastAsia" w:ascii="仿宋_GB2312" w:hAnsi="仿宋_GB2312" w:eastAsia="仿宋_GB2312" w:cs="仿宋_GB2312"/>
          <w:b/>
          <w:bCs/>
          <w:lang w:eastAsia="zh-Hans"/>
        </w:rPr>
        <w:t>职责分工方面</w:t>
      </w:r>
      <w:r>
        <w:rPr>
          <w:rFonts w:hint="eastAsia" w:ascii="仿宋_GB2312" w:hAnsi="仿宋_GB2312" w:eastAsia="仿宋_GB2312" w:cs="仿宋_GB2312"/>
          <w:lang w:eastAsia="zh-Hans"/>
        </w:rPr>
        <w:t>，</w:t>
      </w:r>
      <w:r>
        <w:rPr>
          <w:rFonts w:hint="eastAsia" w:ascii="仿宋_GB2312" w:hAnsi="仿宋_GB2312" w:eastAsia="仿宋_GB2312" w:cs="仿宋_GB2312"/>
          <w:b/>
          <w:bCs/>
          <w:lang w:eastAsia="zh-Hans"/>
        </w:rPr>
        <w:t>市民政局</w:t>
      </w:r>
      <w:r>
        <w:rPr>
          <w:rFonts w:hint="eastAsia" w:ascii="仿宋_GB2312" w:hAnsi="仿宋_GB2312" w:eastAsia="仿宋_GB2312" w:cs="仿宋_GB2312"/>
          <w:lang w:eastAsia="zh-Hans"/>
        </w:rPr>
        <w:t>在项目实施过程中负责总体协调、政策调整等工作。根据年度重点任务编制专项转移支付资金分配方案，指导各区资金管理和使用，对专项转移支付执行情况进行全过程监管，督促各区加强专项转移支付预算执行管理。</w:t>
      </w:r>
      <w:r>
        <w:rPr>
          <w:rFonts w:hint="eastAsia" w:ascii="仿宋_GB2312" w:hAnsi="仿宋_GB2312" w:eastAsia="仿宋_GB2312" w:cs="仿宋_GB2312"/>
        </w:rPr>
        <w:t>为及时掌握财政资金支出进度</w:t>
      </w:r>
      <w:r>
        <w:rPr>
          <w:rFonts w:hint="eastAsia" w:ascii="仿宋_GB2312" w:hAnsi="仿宋_GB2312" w:eastAsia="仿宋_GB2312" w:cs="仿宋_GB2312"/>
          <w:lang w:eastAsia="zh-Hans"/>
        </w:rPr>
        <w:t>，</w:t>
      </w:r>
      <w:r>
        <w:rPr>
          <w:rFonts w:hint="eastAsia" w:ascii="仿宋_GB2312" w:hAnsi="仿宋_GB2312" w:eastAsia="仿宋_GB2312" w:cs="仿宋_GB2312"/>
        </w:rPr>
        <w:t>市民政局建立了</w:t>
      </w:r>
      <w:r>
        <w:rPr>
          <w:rFonts w:hint="eastAsia" w:ascii="仿宋_GB2312" w:hAnsi="仿宋_GB2312" w:eastAsia="仿宋_GB2312" w:cs="仿宋_GB2312"/>
          <w:lang w:eastAsia="zh-Hans"/>
        </w:rPr>
        <w:t>转移支付资金使用进度月报告制度，</w:t>
      </w:r>
      <w:r>
        <w:rPr>
          <w:rFonts w:hint="eastAsia" w:ascii="仿宋_GB2312" w:hAnsi="仿宋_GB2312" w:eastAsia="仿宋_GB2312" w:cs="仿宋_GB2312"/>
        </w:rPr>
        <w:t>要求各区民政局逐月</w:t>
      </w:r>
      <w:r>
        <w:rPr>
          <w:rFonts w:hint="eastAsia" w:ascii="仿宋_GB2312" w:hAnsi="仿宋_GB2312" w:eastAsia="仿宋_GB2312" w:cs="仿宋_GB2312"/>
          <w:lang w:eastAsia="zh-Hans"/>
        </w:rPr>
        <w:t>上报市级财政转移支付资金使用情况，</w:t>
      </w:r>
      <w:r>
        <w:rPr>
          <w:rFonts w:hint="eastAsia" w:ascii="仿宋_GB2312" w:hAnsi="仿宋_GB2312" w:eastAsia="仿宋_GB2312" w:cs="仿宋_GB2312"/>
        </w:rPr>
        <w:t>便于</w:t>
      </w:r>
      <w:r>
        <w:rPr>
          <w:rFonts w:hint="eastAsia" w:ascii="仿宋_GB2312" w:hAnsi="仿宋_GB2312" w:eastAsia="仿宋_GB2312" w:cs="仿宋_GB2312"/>
          <w:lang w:eastAsia="zh-Hans"/>
        </w:rPr>
        <w:t>督导区民政局加强对转移支付资金的监管，及时预警资金支出进度滞后、资金使用率低等问题。</w:t>
      </w:r>
      <w:r>
        <w:rPr>
          <w:rFonts w:hint="eastAsia" w:ascii="仿宋_GB2312" w:hAnsi="仿宋_GB2312" w:eastAsia="仿宋_GB2312" w:cs="仿宋_GB2312"/>
          <w:b/>
          <w:bCs/>
          <w:lang w:eastAsia="zh-Hans"/>
        </w:rPr>
        <w:t>各区民政局</w:t>
      </w:r>
      <w:r>
        <w:rPr>
          <w:rFonts w:hint="eastAsia" w:ascii="仿宋_GB2312" w:hAnsi="仿宋_GB2312" w:eastAsia="仿宋_GB2312" w:cs="仿宋_GB2312"/>
          <w:szCs w:val="32"/>
        </w:rPr>
        <w:t>依据</w:t>
      </w:r>
      <w:r>
        <w:rPr>
          <w:rFonts w:hint="eastAsia" w:ascii="仿宋_GB2312" w:hAnsi="仿宋_GB2312" w:eastAsia="仿宋_GB2312" w:cs="仿宋_GB2312"/>
          <w:szCs w:val="32"/>
          <w:lang w:eastAsia="zh-Hans"/>
        </w:rPr>
        <w:t>管理</w:t>
      </w:r>
      <w:r>
        <w:rPr>
          <w:rFonts w:hint="eastAsia" w:ascii="仿宋_GB2312" w:hAnsi="仿宋_GB2312" w:eastAsia="仿宋_GB2312" w:cs="仿宋_GB2312"/>
          <w:szCs w:val="32"/>
        </w:rPr>
        <w:t>办法规定和市社会福利综合管理平台数据，核定过去半年每家机构运营补贴额度，对满足条件的养老机构发放运营补贴，委托第三方专业机构定期对养老机构归集信息的真实性、准确性进行抽查、核查。运营补贴</w:t>
      </w:r>
      <w:r>
        <w:rPr>
          <w:rFonts w:hint="eastAsia" w:ascii="仿宋_GB2312" w:hAnsi="仿宋_GB2312" w:eastAsia="仿宋_GB2312" w:cs="仿宋_GB2312"/>
          <w:szCs w:val="32"/>
          <w:lang w:eastAsia="zh-Hans"/>
        </w:rPr>
        <w:t>具体</w:t>
      </w:r>
      <w:r>
        <w:rPr>
          <w:rFonts w:hint="eastAsia" w:ascii="仿宋_GB2312" w:hAnsi="仿宋_GB2312" w:eastAsia="仿宋_GB2312" w:cs="仿宋_GB2312"/>
          <w:szCs w:val="32"/>
        </w:rPr>
        <w:t>发放流程</w:t>
      </w:r>
      <w:r>
        <w:rPr>
          <w:rFonts w:hint="eastAsia" w:ascii="仿宋_GB2312" w:hAnsi="仿宋_GB2312" w:eastAsia="仿宋_GB2312" w:cs="仿宋_GB2312"/>
          <w:szCs w:val="32"/>
          <w:lang w:eastAsia="zh-Hans"/>
        </w:rPr>
        <w:t>见下图。</w:t>
      </w:r>
    </w:p>
    <w:p>
      <w:pPr>
        <w:adjustRightInd w:val="0"/>
        <w:snapToGrid w:val="0"/>
        <w:spacing w:after="217" w:afterLines="50"/>
        <w:ind w:firstLine="0" w:firstLineChars="0"/>
        <w:jc w:val="center"/>
        <w:rPr>
          <w:rFonts w:hint="eastAsia" w:ascii="仿宋_GB2312" w:hAnsi="仿宋_GB2312" w:eastAsia="仿宋_GB2312" w:cs="仿宋_GB2312"/>
          <w:szCs w:val="32"/>
          <w:lang w:eastAsia="zh-Hans"/>
        </w:rPr>
      </w:pPr>
      <w:r>
        <w:rPr>
          <w:rFonts w:hint="eastAsia" w:ascii="仿宋_GB2312" w:hAnsi="仿宋_GB2312" w:eastAsia="仿宋_GB2312" w:cs="仿宋_GB2312"/>
        </w:rPr>
        <w:drawing>
          <wp:anchor distT="0" distB="0" distL="114300" distR="114300" simplePos="0" relativeHeight="251664384" behindDoc="0" locked="0" layoutInCell="1" allowOverlap="1">
            <wp:simplePos x="0" y="0"/>
            <wp:positionH relativeFrom="column">
              <wp:posOffset>439420</wp:posOffset>
            </wp:positionH>
            <wp:positionV relativeFrom="paragraph">
              <wp:posOffset>184150</wp:posOffset>
            </wp:positionV>
            <wp:extent cx="4759325" cy="4394200"/>
            <wp:effectExtent l="0" t="0" r="15875" b="0"/>
            <wp:wrapTopAndBottom/>
            <wp:docPr id="1729925059" name="图片 1729925059" descr="图示&#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29925059" name="图片 1729925059" descr="图示&#10;&#10;描述已自动生成"/>
                    <pic:cNvPicPr>
                      <a:picLocks noChangeAspect="true"/>
                    </pic:cNvPicPr>
                  </pic:nvPicPr>
                  <pic:blipFill>
                    <a:blip r:embed="rId10"/>
                    <a:stretch>
                      <a:fillRect/>
                    </a:stretch>
                  </pic:blipFill>
                  <pic:spPr>
                    <a:xfrm>
                      <a:off x="0" y="0"/>
                      <a:ext cx="4759325" cy="4394200"/>
                    </a:xfrm>
                    <a:prstGeom prst="rect">
                      <a:avLst/>
                    </a:prstGeom>
                    <a:noFill/>
                    <a:ln>
                      <a:noFill/>
                    </a:ln>
                  </pic:spPr>
                </pic:pic>
              </a:graphicData>
            </a:graphic>
          </wp:anchor>
        </w:drawing>
      </w:r>
      <w:r>
        <w:rPr>
          <w:rFonts w:hint="eastAsia" w:ascii="仿宋_GB2312" w:hAnsi="仿宋_GB2312" w:eastAsia="仿宋_GB2312" w:cs="仿宋_GB2312"/>
          <w:sz w:val="28"/>
          <w:szCs w:val="28"/>
          <w:lang w:eastAsia="zh-Hans"/>
        </w:rPr>
        <w:t>图1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Hans"/>
        </w:rPr>
        <w:t>社会办养老机构床位运营补贴发放流程图</w:t>
      </w:r>
    </w:p>
    <w:p>
      <w:pPr>
        <w:adjustRightInd w:val="0"/>
        <w:snapToGrid w:val="0"/>
        <w:ind w:firstLine="643"/>
        <w:rPr>
          <w:rFonts w:hint="eastAsia" w:ascii="仿宋_GB2312" w:hAnsi="仿宋_GB2312" w:eastAsia="仿宋_GB2312" w:cs="仿宋_GB2312"/>
          <w:lang w:eastAsia="zh-Hans"/>
        </w:rPr>
      </w:pPr>
      <w:bookmarkStart w:id="98" w:name="_Toc515586354"/>
      <w:bookmarkStart w:id="99" w:name="_Toc103094572"/>
      <w:bookmarkStart w:id="100" w:name="_Toc103096322"/>
      <w:r>
        <w:rPr>
          <w:rFonts w:hint="eastAsia" w:ascii="仿宋_GB2312" w:hAnsi="仿宋_GB2312" w:eastAsia="仿宋_GB2312" w:cs="仿宋_GB2312"/>
          <w:b/>
          <w:bCs/>
          <w:lang w:eastAsia="zh-Hans"/>
        </w:rPr>
        <w:t>评价认为，</w:t>
      </w:r>
      <w:r>
        <w:rPr>
          <w:rFonts w:hint="eastAsia" w:ascii="仿宋_GB2312" w:hAnsi="仿宋_GB2312" w:eastAsia="仿宋_GB2312" w:cs="仿宋_GB2312"/>
          <w:lang w:eastAsia="zh-Hans"/>
        </w:rPr>
        <w:t>项目管理制度较健全，组织机构和职责分工较为明确，但项目过程管理存在不足</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如</w:t>
      </w:r>
      <w:r>
        <w:rPr>
          <w:rFonts w:hint="eastAsia" w:ascii="仿宋_GB2312" w:hAnsi="仿宋_GB2312" w:eastAsia="仿宋_GB2312" w:cs="仿宋_GB2312"/>
          <w:lang w:eastAsia="zh-Hans"/>
        </w:rPr>
        <w:t>市社会福利综合管理平台归集的数据</w:t>
      </w:r>
      <w:r>
        <w:rPr>
          <w:rFonts w:hint="eastAsia" w:ascii="仿宋_GB2312" w:hAnsi="仿宋_GB2312" w:eastAsia="仿宋_GB2312" w:cs="仿宋_GB2312"/>
        </w:rPr>
        <w:t>是</w:t>
      </w:r>
      <w:r>
        <w:rPr>
          <w:rFonts w:hint="eastAsia" w:ascii="仿宋_GB2312" w:hAnsi="仿宋_GB2312" w:eastAsia="仿宋_GB2312" w:cs="仿宋_GB2312"/>
          <w:lang w:eastAsia="zh-Hans"/>
        </w:rPr>
        <w:t>养老机构运营补贴发放的唯一依据，</w:t>
      </w:r>
      <w:r>
        <w:rPr>
          <w:rFonts w:hint="eastAsia" w:ascii="仿宋_GB2312" w:hAnsi="仿宋_GB2312" w:eastAsia="仿宋_GB2312" w:cs="仿宋_GB2312"/>
        </w:rPr>
        <w:t>但目前</w:t>
      </w:r>
      <w:r>
        <w:rPr>
          <w:rFonts w:hint="eastAsia" w:ascii="仿宋_GB2312" w:hAnsi="仿宋_GB2312" w:eastAsia="仿宋_GB2312" w:cs="仿宋_GB2312"/>
          <w:lang w:eastAsia="zh-Hans"/>
        </w:rPr>
        <w:t>平台</w:t>
      </w:r>
      <w:r>
        <w:rPr>
          <w:rFonts w:hint="eastAsia" w:ascii="仿宋_GB2312" w:hAnsi="仿宋_GB2312" w:eastAsia="仿宋_GB2312" w:cs="仿宋_GB2312"/>
        </w:rPr>
        <w:t>尚未</w:t>
      </w:r>
      <w:r>
        <w:rPr>
          <w:rFonts w:hint="eastAsia" w:ascii="仿宋_GB2312" w:hAnsi="仿宋_GB2312" w:eastAsia="仿宋_GB2312" w:cs="仿宋_GB2312"/>
          <w:lang w:eastAsia="zh-Hans"/>
        </w:rPr>
        <w:t>实现养老服务事项全流程监管、服务内容和过程全要素记录、各级各部门信息全数据互通、养老服务数据全口径分析</w:t>
      </w:r>
      <w:r>
        <w:rPr>
          <w:rFonts w:hint="eastAsia" w:ascii="仿宋_GB2312" w:hAnsi="仿宋_GB2312" w:eastAsia="仿宋_GB2312" w:cs="仿宋_GB2312"/>
        </w:rPr>
        <w:t>等功能</w:t>
      </w:r>
      <w:r>
        <w:rPr>
          <w:rFonts w:hint="eastAsia" w:ascii="仿宋_GB2312" w:hAnsi="仿宋_GB2312" w:eastAsia="仿宋_GB2312" w:cs="仿宋_GB2312"/>
          <w:lang w:eastAsia="zh-Hans"/>
        </w:rPr>
        <w:t>，平台中</w:t>
      </w:r>
      <w:r>
        <w:rPr>
          <w:rFonts w:hint="eastAsia" w:ascii="仿宋_GB2312" w:hAnsi="仿宋_GB2312" w:eastAsia="仿宋_GB2312" w:cs="仿宋_GB2312"/>
        </w:rPr>
        <w:t>有关老年人入住情况的部分</w:t>
      </w:r>
      <w:r>
        <w:rPr>
          <w:rFonts w:hint="eastAsia" w:ascii="仿宋_GB2312" w:hAnsi="仿宋_GB2312" w:eastAsia="仿宋_GB2312" w:cs="仿宋_GB2312"/>
          <w:lang w:eastAsia="zh-Hans"/>
        </w:rPr>
        <w:t>信息由养老机构自行</w:t>
      </w:r>
      <w:r>
        <w:rPr>
          <w:rFonts w:hint="eastAsia" w:ascii="仿宋_GB2312" w:hAnsi="仿宋_GB2312" w:eastAsia="仿宋_GB2312" w:cs="仿宋_GB2312"/>
        </w:rPr>
        <w:t>填写</w:t>
      </w:r>
      <w:r>
        <w:rPr>
          <w:rFonts w:hint="eastAsia" w:ascii="仿宋_GB2312" w:hAnsi="仿宋_GB2312" w:eastAsia="仿宋_GB2312" w:cs="仿宋_GB2312"/>
          <w:lang w:eastAsia="zh-Hans"/>
        </w:rPr>
        <w:t>，数据真实性、准确性不足，项目全流程动态管理</w:t>
      </w:r>
      <w:r>
        <w:rPr>
          <w:rFonts w:hint="eastAsia" w:ascii="仿宋_GB2312" w:hAnsi="仿宋_GB2312" w:eastAsia="仿宋_GB2312" w:cs="仿宋_GB2312"/>
        </w:rPr>
        <w:t>缺乏信息化支撑，项目线下审核工作量较大，影响项目执行效率和质量</w:t>
      </w:r>
      <w:r>
        <w:rPr>
          <w:rFonts w:hint="eastAsia" w:ascii="仿宋_GB2312" w:hAnsi="仿宋_GB2312" w:eastAsia="仿宋_GB2312" w:cs="仿宋_GB2312"/>
          <w:lang w:eastAsia="zh-Hans"/>
        </w:rPr>
        <w:t>。</w:t>
      </w:r>
    </w:p>
    <w:p>
      <w:pPr>
        <w:ind w:firstLine="640"/>
        <w:outlineLvl w:val="1"/>
        <w:rPr>
          <w:rFonts w:hint="eastAsia" w:ascii="楷体_GB2312" w:hAnsi="楷体_GB2312" w:eastAsia="楷体_GB2312" w:cs="楷体_GB2312"/>
        </w:rPr>
      </w:pPr>
      <w:bookmarkStart w:id="101" w:name="_Toc1870133336"/>
      <w:bookmarkStart w:id="102" w:name="_Toc1890585842"/>
      <w:bookmarkStart w:id="103" w:name="_Toc2061125106"/>
      <w:r>
        <w:rPr>
          <w:rFonts w:hint="eastAsia" w:ascii="楷体_GB2312" w:hAnsi="楷体_GB2312" w:eastAsia="楷体_GB2312" w:cs="楷体_GB2312"/>
        </w:rPr>
        <w:t>（三）项目产出</w:t>
      </w:r>
      <w:bookmarkEnd w:id="98"/>
      <w:r>
        <w:rPr>
          <w:rFonts w:hint="eastAsia" w:ascii="楷体_GB2312" w:hAnsi="楷体_GB2312" w:eastAsia="楷体_GB2312" w:cs="楷体_GB2312"/>
        </w:rPr>
        <w:t>情况</w:t>
      </w:r>
      <w:bookmarkEnd w:id="99"/>
      <w:bookmarkEnd w:id="100"/>
      <w:bookmarkEnd w:id="101"/>
      <w:bookmarkEnd w:id="102"/>
      <w:bookmarkEnd w:id="103"/>
    </w:p>
    <w:p>
      <w:pPr>
        <w:pStyle w:val="4"/>
        <w:keepNext w:val="0"/>
        <w:keepLines w:val="0"/>
        <w:ind w:firstLine="643"/>
        <w:rPr>
          <w:rFonts w:hint="eastAsia" w:ascii="仿宋_GB2312" w:hAnsi="仿宋_GB2312" w:eastAsia="仿宋_GB2312" w:cs="仿宋_GB2312"/>
        </w:rPr>
      </w:pPr>
      <w:bookmarkStart w:id="104" w:name="_Toc103094573"/>
      <w:r>
        <w:rPr>
          <w:rFonts w:hint="eastAsia" w:ascii="仿宋_GB2312" w:hAnsi="仿宋_GB2312" w:eastAsia="仿宋_GB2312" w:cs="仿宋_GB2312"/>
        </w:rPr>
        <w:t>1.产出数量</w:t>
      </w:r>
      <w:bookmarkEnd w:id="104"/>
    </w:p>
    <w:p>
      <w:pPr>
        <w:ind w:firstLine="640"/>
        <w:rPr>
          <w:rFonts w:hint="eastAsia" w:ascii="仿宋_GB2312" w:hAnsi="仿宋_GB2312" w:eastAsia="仿宋_GB2312" w:cs="仿宋_GB2312"/>
          <w:bCs/>
          <w:szCs w:val="32"/>
          <w:lang w:eastAsia="zh-Hans"/>
        </w:rPr>
      </w:pPr>
      <w:r>
        <w:rPr>
          <w:rFonts w:hint="eastAsia" w:ascii="仿宋_GB2312" w:hAnsi="仿宋_GB2312" w:eastAsia="仿宋_GB2312" w:cs="仿宋_GB2312"/>
          <w:bCs/>
          <w:szCs w:val="32"/>
        </w:rPr>
        <w:t>截至2022年底，</w:t>
      </w:r>
      <w:r>
        <w:rPr>
          <w:rFonts w:hint="eastAsia" w:ascii="仿宋_GB2312" w:hAnsi="仿宋_GB2312" w:eastAsia="仿宋_GB2312" w:cs="仿宋_GB2312"/>
          <w:bCs/>
          <w:szCs w:val="32"/>
          <w:lang w:eastAsia="zh-Hans"/>
        </w:rPr>
        <w:t>社会办养老机构运营补贴</w:t>
      </w:r>
      <w:r>
        <w:rPr>
          <w:rFonts w:hint="eastAsia" w:ascii="仿宋_GB2312" w:hAnsi="仿宋_GB2312" w:eastAsia="仿宋_GB2312" w:cs="仿宋_GB2312"/>
          <w:bCs/>
          <w:szCs w:val="32"/>
        </w:rPr>
        <w:t>共</w:t>
      </w:r>
      <w:r>
        <w:rPr>
          <w:rFonts w:hint="eastAsia" w:ascii="仿宋_GB2312" w:hAnsi="仿宋_GB2312" w:eastAsia="仿宋_GB2312" w:cs="仿宋_GB2312"/>
          <w:bCs/>
          <w:szCs w:val="32"/>
          <w:lang w:eastAsia="zh-Hans"/>
        </w:rPr>
        <w:t>涉及617家养老机构，覆盖老年人54806</w:t>
      </w:r>
      <w:r>
        <w:rPr>
          <w:rFonts w:hint="eastAsia" w:ascii="仿宋_GB2312" w:hAnsi="仿宋_GB2312" w:eastAsia="仿宋_GB2312" w:cs="仿宋_GB2312"/>
          <w:bCs/>
          <w:szCs w:val="32"/>
        </w:rPr>
        <w:t>人；疫情防控期间提高养老机构运营补贴</w:t>
      </w:r>
      <w:r>
        <w:rPr>
          <w:rFonts w:hint="eastAsia" w:ascii="仿宋_GB2312" w:hAnsi="仿宋_GB2312" w:eastAsia="仿宋_GB2312" w:cs="仿宋_GB2312"/>
          <w:bCs/>
          <w:szCs w:val="32"/>
          <w:lang w:eastAsia="zh-Hans"/>
        </w:rPr>
        <w:t>共涉及491家养老机构，覆盖老年人40448人。</w:t>
      </w:r>
      <w:r>
        <w:rPr>
          <w:rFonts w:hint="eastAsia" w:ascii="仿宋_GB2312" w:hAnsi="仿宋_GB2312" w:eastAsia="仿宋_GB2312" w:cs="仿宋_GB2312"/>
          <w:b/>
        </w:rPr>
        <w:t>评价认为</w:t>
      </w:r>
      <w:r>
        <w:rPr>
          <w:rFonts w:hint="eastAsia" w:ascii="仿宋_GB2312" w:hAnsi="仿宋_GB2312" w:eastAsia="仿宋_GB2312" w:cs="仿宋_GB2312"/>
          <w:bCs/>
        </w:rPr>
        <w:t>，</w:t>
      </w:r>
      <w:r>
        <w:rPr>
          <w:rFonts w:hint="eastAsia" w:ascii="仿宋_GB2312" w:hAnsi="仿宋_GB2312" w:eastAsia="仿宋_GB2312" w:cs="仿宋_GB2312"/>
          <w:lang w:eastAsia="zh-Hans"/>
        </w:rPr>
        <w:t>该项目产出数量</w:t>
      </w:r>
      <w:r>
        <w:rPr>
          <w:rFonts w:hint="eastAsia" w:ascii="仿宋_GB2312" w:hAnsi="仿宋_GB2312" w:eastAsia="仿宋_GB2312" w:cs="仿宋_GB2312"/>
        </w:rPr>
        <w:t>指标</w:t>
      </w:r>
      <w:r>
        <w:rPr>
          <w:rFonts w:hint="eastAsia" w:ascii="仿宋_GB2312" w:hAnsi="仿宋_GB2312" w:eastAsia="仿宋_GB2312" w:cs="仿宋_GB2312"/>
          <w:lang w:eastAsia="zh-Hans"/>
        </w:rPr>
        <w:t>完成情况较好</w:t>
      </w:r>
      <w:r>
        <w:rPr>
          <w:rFonts w:hint="eastAsia" w:ascii="仿宋_GB2312" w:hAnsi="仿宋_GB2312" w:eastAsia="仿宋_GB2312" w:cs="仿宋_GB2312"/>
        </w:rPr>
        <w:t>，</w:t>
      </w:r>
      <w:r>
        <w:rPr>
          <w:rFonts w:hint="eastAsia" w:ascii="仿宋_GB2312" w:hAnsi="仿宋_GB2312" w:eastAsia="仿宋_GB2312" w:cs="仿宋_GB2312"/>
          <w:lang w:eastAsia="zh-Hans"/>
        </w:rPr>
        <w:t>达到预期绩效目标值，</w:t>
      </w:r>
      <w:r>
        <w:rPr>
          <w:rFonts w:hint="eastAsia" w:ascii="仿宋_GB2312" w:hAnsi="仿宋_GB2312" w:eastAsia="仿宋_GB2312" w:cs="仿宋_GB2312"/>
          <w:bCs/>
          <w:szCs w:val="32"/>
          <w:lang w:eastAsia="zh-Hans"/>
        </w:rPr>
        <w:t>运营补贴具体产出数量情况见下表。</w:t>
      </w:r>
    </w:p>
    <w:p>
      <w:pPr>
        <w:spacing w:after="217" w:afterLines="50"/>
        <w:ind w:firstLine="0" w:firstLineChars="0"/>
        <w:jc w:val="center"/>
        <w:rPr>
          <w:rFonts w:eastAsia="黑体" w:cs="Times New Roman"/>
          <w:sz w:val="28"/>
          <w:szCs w:val="28"/>
          <w:lang w:eastAsia="zh-Hans"/>
        </w:rPr>
      </w:pPr>
      <w:r>
        <w:rPr>
          <w:rFonts w:hint="eastAsia" w:eastAsia="黑体" w:cs="Times New Roman"/>
          <w:sz w:val="28"/>
          <w:szCs w:val="28"/>
          <w:lang w:eastAsia="zh-Hans"/>
        </w:rPr>
        <w:t>表</w:t>
      </w:r>
      <w:r>
        <w:rPr>
          <w:rFonts w:eastAsia="黑体" w:cs="Times New Roman"/>
          <w:sz w:val="28"/>
          <w:szCs w:val="28"/>
          <w:lang w:eastAsia="zh-Hans"/>
        </w:rPr>
        <w:t>6</w:t>
      </w:r>
      <w:r>
        <w:rPr>
          <w:rFonts w:hint="eastAsia" w:eastAsia="黑体" w:cs="Times New Roman"/>
          <w:sz w:val="28"/>
          <w:szCs w:val="28"/>
          <w:lang w:eastAsia="zh-Hans"/>
        </w:rPr>
        <w:t xml:space="preserve"> 社会办养老机构床位运营补贴产出数量表</w:t>
      </w:r>
    </w:p>
    <w:tbl>
      <w:tblPr>
        <w:tblStyle w:val="20"/>
        <w:tblW w:w="5376" w:type="pct"/>
        <w:jc w:val="center"/>
        <w:tblLayout w:type="autofit"/>
        <w:tblCellMar>
          <w:top w:w="0" w:type="dxa"/>
          <w:left w:w="108" w:type="dxa"/>
          <w:bottom w:w="0" w:type="dxa"/>
          <w:right w:w="108" w:type="dxa"/>
        </w:tblCellMar>
      </w:tblPr>
      <w:tblGrid>
        <w:gridCol w:w="407"/>
        <w:gridCol w:w="797"/>
        <w:gridCol w:w="1011"/>
        <w:gridCol w:w="721"/>
        <w:gridCol w:w="1157"/>
        <w:gridCol w:w="1155"/>
        <w:gridCol w:w="1167"/>
        <w:gridCol w:w="1592"/>
        <w:gridCol w:w="1735"/>
      </w:tblGrid>
      <w:tr>
        <w:tblPrEx>
          <w:tblCellMar>
            <w:top w:w="0" w:type="dxa"/>
            <w:left w:w="108" w:type="dxa"/>
            <w:bottom w:w="0" w:type="dxa"/>
            <w:right w:w="108" w:type="dxa"/>
          </w:tblCellMar>
        </w:tblPrEx>
        <w:trPr>
          <w:trHeight w:val="90" w:hRule="atLeast"/>
          <w:tblHeader/>
          <w:jc w:val="center"/>
        </w:trPr>
        <w:tc>
          <w:tcPr>
            <w:tcW w:w="209"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bookmarkStart w:id="105" w:name="_Toc103094574"/>
            <w:r>
              <w:rPr>
                <w:rFonts w:hint="eastAsia" w:ascii="宋体" w:hAnsi="宋体" w:eastAsia="宋体" w:cs="宋体"/>
                <w:b/>
                <w:bCs/>
                <w:color w:val="000000"/>
                <w:kern w:val="0"/>
                <w:sz w:val="18"/>
                <w:szCs w:val="18"/>
                <w:lang w:bidi="ar"/>
              </w:rPr>
              <w:t>序号</w:t>
            </w:r>
          </w:p>
        </w:tc>
        <w:tc>
          <w:tcPr>
            <w:tcW w:w="409"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区</w:t>
            </w:r>
          </w:p>
        </w:tc>
        <w:tc>
          <w:tcPr>
            <w:tcW w:w="2675" w:type="pct"/>
            <w:gridSpan w:val="5"/>
            <w:tcBorders>
              <w:top w:val="single" w:color="000000" w:sz="4" w:space="0"/>
              <w:left w:val="single" w:color="000000" w:sz="4" w:space="0"/>
              <w:bottom w:val="single" w:color="000000" w:sz="4" w:space="0"/>
              <w:right w:val="single" w:color="000000" w:sz="4" w:space="0"/>
            </w:tcBorders>
            <w:shd w:val="clear" w:color="auto" w:fill="BFBFBF"/>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社会办养老机构床位运营补贴</w:t>
            </w:r>
          </w:p>
        </w:tc>
        <w:tc>
          <w:tcPr>
            <w:tcW w:w="1707" w:type="pct"/>
            <w:gridSpan w:val="2"/>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疫情防控期间提高养老机构运营补贴</w:t>
            </w:r>
          </w:p>
        </w:tc>
      </w:tr>
      <w:tr>
        <w:tblPrEx>
          <w:tblCellMar>
            <w:top w:w="0" w:type="dxa"/>
            <w:left w:w="108" w:type="dxa"/>
            <w:bottom w:w="0" w:type="dxa"/>
            <w:right w:w="108" w:type="dxa"/>
          </w:tblCellMar>
        </w:tblPrEx>
        <w:trPr>
          <w:trHeight w:val="128" w:hRule="atLeast"/>
          <w:tblHeader/>
          <w:jc w:val="center"/>
        </w:trPr>
        <w:tc>
          <w:tcPr>
            <w:tcW w:w="209"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spacing w:line="300" w:lineRule="exact"/>
              <w:ind w:firstLine="361"/>
              <w:jc w:val="center"/>
              <w:rPr>
                <w:rFonts w:ascii="宋体" w:hAnsi="宋体" w:eastAsia="宋体" w:cs="宋体"/>
                <w:b/>
                <w:bCs/>
                <w:color w:val="000000"/>
                <w:sz w:val="18"/>
                <w:szCs w:val="18"/>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spacing w:line="300" w:lineRule="exact"/>
              <w:ind w:firstLine="361"/>
              <w:jc w:val="center"/>
              <w:rPr>
                <w:rFonts w:ascii="宋体" w:hAnsi="宋体" w:eastAsia="宋体" w:cs="宋体"/>
                <w:b/>
                <w:bCs/>
                <w:color w:val="000000"/>
                <w:sz w:val="18"/>
                <w:szCs w:val="18"/>
              </w:rPr>
            </w:pPr>
          </w:p>
        </w:tc>
        <w:tc>
          <w:tcPr>
            <w:tcW w:w="519" w:type="pct"/>
            <w:vMerge w:val="restart"/>
            <w:tcBorders>
              <w:top w:val="single" w:color="000000" w:sz="4" w:space="0"/>
              <w:left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机构数量（家）</w:t>
            </w:r>
          </w:p>
        </w:tc>
        <w:tc>
          <w:tcPr>
            <w:tcW w:w="2156" w:type="pct"/>
            <w:gridSpan w:val="4"/>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老年人数量（人）</w:t>
            </w:r>
          </w:p>
        </w:tc>
        <w:tc>
          <w:tcPr>
            <w:tcW w:w="817" w:type="pct"/>
            <w:vMerge w:val="restart"/>
            <w:tcBorders>
              <w:top w:val="single" w:color="000000" w:sz="4" w:space="0"/>
              <w:left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机构数量（家）</w:t>
            </w:r>
          </w:p>
        </w:tc>
        <w:tc>
          <w:tcPr>
            <w:tcW w:w="890" w:type="pct"/>
            <w:vMerge w:val="restart"/>
            <w:tcBorders>
              <w:top w:val="single" w:color="000000" w:sz="4" w:space="0"/>
              <w:left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老年人数量（人）</w:t>
            </w:r>
          </w:p>
        </w:tc>
      </w:tr>
      <w:tr>
        <w:tblPrEx>
          <w:tblCellMar>
            <w:top w:w="0" w:type="dxa"/>
            <w:left w:w="108" w:type="dxa"/>
            <w:bottom w:w="0" w:type="dxa"/>
            <w:right w:w="108" w:type="dxa"/>
          </w:tblCellMar>
        </w:tblPrEx>
        <w:trPr>
          <w:trHeight w:val="90" w:hRule="atLeast"/>
          <w:jc w:val="center"/>
        </w:trPr>
        <w:tc>
          <w:tcPr>
            <w:tcW w:w="209"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spacing w:line="300" w:lineRule="exact"/>
              <w:ind w:firstLine="361"/>
              <w:jc w:val="center"/>
              <w:rPr>
                <w:rFonts w:ascii="宋体" w:hAnsi="宋体" w:eastAsia="宋体" w:cs="宋体"/>
                <w:b/>
                <w:bCs/>
                <w:color w:val="000000"/>
                <w:sz w:val="18"/>
                <w:szCs w:val="18"/>
              </w:rPr>
            </w:pPr>
          </w:p>
        </w:tc>
        <w:tc>
          <w:tcPr>
            <w:tcW w:w="409"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spacing w:line="300" w:lineRule="exact"/>
              <w:ind w:firstLine="361"/>
              <w:jc w:val="center"/>
              <w:rPr>
                <w:rFonts w:ascii="宋体" w:hAnsi="宋体" w:eastAsia="宋体" w:cs="宋体"/>
                <w:b/>
                <w:bCs/>
                <w:color w:val="000000"/>
                <w:sz w:val="18"/>
                <w:szCs w:val="18"/>
              </w:rPr>
            </w:pPr>
          </w:p>
        </w:tc>
        <w:tc>
          <w:tcPr>
            <w:tcW w:w="519" w:type="pct"/>
            <w:vMerge w:val="continue"/>
            <w:tcBorders>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p>
        </w:tc>
        <w:tc>
          <w:tcPr>
            <w:tcW w:w="370" w:type="pc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小计</w:t>
            </w:r>
          </w:p>
        </w:tc>
        <w:tc>
          <w:tcPr>
            <w:tcW w:w="594" w:type="pc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自理老年人</w:t>
            </w:r>
          </w:p>
        </w:tc>
        <w:tc>
          <w:tcPr>
            <w:tcW w:w="593" w:type="pc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失能老年人</w:t>
            </w:r>
          </w:p>
        </w:tc>
        <w:tc>
          <w:tcPr>
            <w:tcW w:w="599" w:type="pct"/>
            <w:tcBorders>
              <w:top w:val="single" w:color="000000" w:sz="4" w:space="0"/>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失智老年人</w:t>
            </w:r>
          </w:p>
        </w:tc>
        <w:tc>
          <w:tcPr>
            <w:tcW w:w="817" w:type="pct"/>
            <w:vMerge w:val="continue"/>
            <w:tcBorders>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p>
        </w:tc>
        <w:tc>
          <w:tcPr>
            <w:tcW w:w="890" w:type="pct"/>
            <w:vMerge w:val="continue"/>
            <w:tcBorders>
              <w:left w:val="single" w:color="000000" w:sz="4" w:space="0"/>
              <w:bottom w:val="single" w:color="000000" w:sz="4" w:space="0"/>
              <w:right w:val="single" w:color="000000" w:sz="4" w:space="0"/>
            </w:tcBorders>
            <w:shd w:val="clear" w:color="auto" w:fill="BFBFBF"/>
            <w:vAlign w:val="center"/>
          </w:tcPr>
          <w:p>
            <w:pPr>
              <w:widowControl/>
              <w:spacing w:line="300" w:lineRule="exact"/>
              <w:ind w:firstLine="0" w:firstLineChars="0"/>
              <w:textAlignment w:val="center"/>
              <w:rPr>
                <w:rFonts w:ascii="宋体" w:hAnsi="宋体" w:eastAsia="宋体" w:cs="宋体"/>
                <w:b/>
                <w:bCs/>
                <w:color w:val="000000"/>
                <w:sz w:val="18"/>
                <w:szCs w:val="18"/>
              </w:rPr>
            </w:pP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东城区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44</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3910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673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2532</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705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554</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西城区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70</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6153</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1183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3898</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1072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1800</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朝阳区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92</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9469</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1869</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5651</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1949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9469</w:t>
            </w:r>
          </w:p>
        </w:tc>
      </w:tr>
      <w:tr>
        <w:tblPrEx>
          <w:tblCellMar>
            <w:top w:w="0" w:type="dxa"/>
            <w:left w:w="108" w:type="dxa"/>
            <w:bottom w:w="0" w:type="dxa"/>
            <w:right w:w="108" w:type="dxa"/>
          </w:tblCellMar>
        </w:tblPrEx>
        <w:trPr>
          <w:trHeight w:val="352"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海淀区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53</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7047</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1733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4357</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957</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46</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3668</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丰台区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68</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4922</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908</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3335</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679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4004</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石景山</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1854</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295</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1308</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1803</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门头沟</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816</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394</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345</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房山区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370" w:type="pc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2689</w:t>
            </w:r>
          </w:p>
        </w:tc>
        <w:tc>
          <w:tcPr>
            <w:tcW w:w="594" w:type="pct"/>
            <w:tcBorders>
              <w:top w:val="nil"/>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668</w:t>
            </w:r>
          </w:p>
        </w:tc>
        <w:tc>
          <w:tcPr>
            <w:tcW w:w="593" w:type="pct"/>
            <w:tcBorders>
              <w:top w:val="nil"/>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1876</w:t>
            </w:r>
          </w:p>
        </w:tc>
        <w:tc>
          <w:tcPr>
            <w:tcW w:w="599" w:type="pct"/>
            <w:tcBorders>
              <w:top w:val="nil"/>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8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2296</w:t>
            </w:r>
          </w:p>
        </w:tc>
      </w:tr>
      <w:tr>
        <w:tblPrEx>
          <w:tblCellMar>
            <w:top w:w="0" w:type="dxa"/>
            <w:left w:w="108" w:type="dxa"/>
            <w:bottom w:w="0" w:type="dxa"/>
            <w:right w:w="108" w:type="dxa"/>
          </w:tblCellMar>
        </w:tblPrEx>
        <w:trPr>
          <w:trHeight w:val="352"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通州区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1291</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255</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904</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1175</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昌平区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4675</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2225</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2324</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33</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5728</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顺义区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665</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418</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750</w:t>
            </w:r>
          </w:p>
        </w:tc>
      </w:tr>
      <w:tr>
        <w:tblPrEx>
          <w:tblCellMar>
            <w:top w:w="0" w:type="dxa"/>
            <w:left w:w="108" w:type="dxa"/>
            <w:bottom w:w="0" w:type="dxa"/>
            <w:right w:w="108" w:type="dxa"/>
          </w:tblCellMar>
        </w:tblPrEx>
        <w:trPr>
          <w:trHeight w:val="352"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大兴区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2852</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245</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2207</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36</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2990</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怀柔区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572</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68</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414</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687</w:t>
            </w:r>
          </w:p>
        </w:tc>
      </w:tr>
      <w:tr>
        <w:tblPrEx>
          <w:tblCellMar>
            <w:top w:w="0" w:type="dxa"/>
            <w:left w:w="108" w:type="dxa"/>
            <w:bottom w:w="0" w:type="dxa"/>
            <w:right w:w="108" w:type="dxa"/>
          </w:tblCellMar>
        </w:tblPrEx>
        <w:trPr>
          <w:trHeight w:val="340"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密云区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4444</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98</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2856</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1490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2340</w:t>
            </w:r>
          </w:p>
        </w:tc>
      </w:tr>
      <w:tr>
        <w:tblPrEx>
          <w:tblCellMar>
            <w:top w:w="0" w:type="dxa"/>
            <w:left w:w="108" w:type="dxa"/>
            <w:bottom w:w="0" w:type="dxa"/>
            <w:right w:w="108" w:type="dxa"/>
          </w:tblCellMar>
        </w:tblPrEx>
        <w:trPr>
          <w:trHeight w:val="352"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平谷区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2541</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136</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1676</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33</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2128</w:t>
            </w:r>
          </w:p>
        </w:tc>
      </w:tr>
      <w:tr>
        <w:tblPrEx>
          <w:tblCellMar>
            <w:top w:w="0" w:type="dxa"/>
            <w:left w:w="108" w:type="dxa"/>
            <w:bottom w:w="0" w:type="dxa"/>
            <w:right w:w="108" w:type="dxa"/>
          </w:tblCellMar>
        </w:tblPrEx>
        <w:trPr>
          <w:trHeight w:val="352" w:hRule="atLeast"/>
          <w:jc w:val="center"/>
        </w:trPr>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4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延庆区</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906</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630</w:t>
            </w: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711</w:t>
            </w:r>
          </w:p>
        </w:tc>
      </w:tr>
      <w:tr>
        <w:tblPrEx>
          <w:tblCellMar>
            <w:top w:w="0" w:type="dxa"/>
            <w:left w:w="108" w:type="dxa"/>
            <w:bottom w:w="0" w:type="dxa"/>
            <w:right w:w="108" w:type="dxa"/>
          </w:tblCellMar>
        </w:tblPrEx>
        <w:trPr>
          <w:trHeight w:val="336" w:hRule="atLeast"/>
          <w:jc w:val="center"/>
        </w:trPr>
        <w:tc>
          <w:tcPr>
            <w:tcW w:w="61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51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617</w:t>
            </w:r>
          </w:p>
        </w:tc>
        <w:tc>
          <w:tcPr>
            <w:tcW w:w="37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54806</w:t>
            </w:r>
          </w:p>
        </w:tc>
        <w:tc>
          <w:tcPr>
            <w:tcW w:w="5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10720</w:t>
            </w:r>
          </w:p>
        </w:tc>
        <w:tc>
          <w:tcPr>
            <w:tcW w:w="5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34780</w:t>
            </w:r>
          </w:p>
        </w:tc>
        <w:tc>
          <w:tcPr>
            <w:tcW w:w="59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9306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491</w:t>
            </w:r>
          </w:p>
        </w:tc>
        <w:tc>
          <w:tcPr>
            <w:tcW w:w="8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40448</w:t>
            </w:r>
          </w:p>
        </w:tc>
      </w:tr>
    </w:tbl>
    <w:p>
      <w:pPr>
        <w:pStyle w:val="4"/>
        <w:keepNext w:val="0"/>
        <w:keepLines w:val="0"/>
        <w:spacing w:before="217" w:beforeLines="50"/>
        <w:ind w:firstLine="643"/>
        <w:rPr>
          <w:rFonts w:hint="eastAsia" w:ascii="仿宋_GB2312" w:hAnsi="仿宋_GB2312" w:eastAsia="仿宋_GB2312" w:cs="仿宋_GB2312"/>
          <w:lang w:eastAsia="zh-Hans"/>
        </w:rPr>
      </w:pPr>
      <w:r>
        <w:rPr>
          <w:rFonts w:hint="eastAsia" w:ascii="仿宋_GB2312" w:hAnsi="仿宋_GB2312" w:eastAsia="仿宋_GB2312" w:cs="仿宋_GB2312"/>
        </w:rPr>
        <w:t>2.产出质量</w:t>
      </w:r>
      <w:bookmarkEnd w:id="105"/>
    </w:p>
    <w:p>
      <w:pPr>
        <w:ind w:firstLine="640"/>
        <w:rPr>
          <w:rFonts w:hint="eastAsia" w:ascii="仿宋_GB2312" w:hAnsi="仿宋_GB2312" w:eastAsia="仿宋_GB2312" w:cs="仿宋_GB2312"/>
          <w:kern w:val="0"/>
          <w:szCs w:val="32"/>
          <w:lang w:eastAsia="zh-Hans"/>
        </w:rPr>
      </w:pPr>
      <w:r>
        <w:rPr>
          <w:rFonts w:hint="eastAsia" w:ascii="仿宋_GB2312" w:hAnsi="仿宋_GB2312" w:eastAsia="仿宋_GB2312" w:cs="仿宋_GB2312"/>
          <w:lang w:eastAsia="zh-Hans"/>
        </w:rPr>
        <w:t>根据《北京市民政局养老服务机构运营补贴资金专项审计报告》结果，2022年度</w:t>
      </w:r>
      <w:r>
        <w:rPr>
          <w:rFonts w:hint="eastAsia" w:ascii="仿宋_GB2312" w:hAnsi="仿宋_GB2312" w:eastAsia="仿宋_GB2312" w:cs="仿宋_GB2312"/>
          <w:kern w:val="0"/>
          <w:szCs w:val="32"/>
        </w:rPr>
        <w:t>申领运营补贴的</w:t>
      </w:r>
      <w:r>
        <w:rPr>
          <w:rFonts w:hint="eastAsia" w:ascii="仿宋_GB2312" w:hAnsi="仿宋_GB2312" w:eastAsia="仿宋_GB2312" w:cs="仿宋_GB2312"/>
          <w:lang w:eastAsia="zh-Hans"/>
        </w:rPr>
        <w:t>养老机构存在</w:t>
      </w:r>
      <w:r>
        <w:rPr>
          <w:rFonts w:hint="eastAsia" w:ascii="仿宋_GB2312" w:hAnsi="仿宋_GB2312" w:eastAsia="仿宋_GB2312" w:cs="仿宋_GB2312"/>
          <w:kern w:val="0"/>
          <w:szCs w:val="32"/>
        </w:rPr>
        <w:t>部分从业人员缺少资质、</w:t>
      </w:r>
      <w:r>
        <w:rPr>
          <w:rFonts w:hint="eastAsia" w:ascii="仿宋_GB2312" w:hAnsi="仿宋_GB2312" w:eastAsia="仿宋_GB2312" w:cs="仿宋_GB2312"/>
          <w:kern w:val="0"/>
          <w:szCs w:val="32"/>
          <w:lang w:eastAsia="zh-Hans"/>
        </w:rPr>
        <w:t>从业人员</w:t>
      </w:r>
      <w:r>
        <w:rPr>
          <w:rFonts w:hint="eastAsia" w:ascii="仿宋_GB2312" w:hAnsi="仿宋_GB2312" w:eastAsia="仿宋_GB2312" w:cs="仿宋_GB2312"/>
          <w:kern w:val="0"/>
          <w:szCs w:val="32"/>
        </w:rPr>
        <w:t>岗前培训不真实、</w:t>
      </w:r>
      <w:r>
        <w:rPr>
          <w:rFonts w:hint="eastAsia" w:ascii="仿宋_GB2312" w:hAnsi="仿宋_GB2312" w:eastAsia="仿宋_GB2312" w:cs="仿宋_GB2312"/>
          <w:kern w:val="0"/>
          <w:szCs w:val="32"/>
          <w:lang w:eastAsia="zh-Hans"/>
        </w:rPr>
        <w:t>审计报告不完整、信用异常、无星级评定结果</w:t>
      </w:r>
      <w:r>
        <w:rPr>
          <w:rFonts w:hint="eastAsia" w:ascii="仿宋_GB2312" w:hAnsi="仿宋_GB2312" w:eastAsia="仿宋_GB2312" w:cs="仿宋_GB2312"/>
          <w:lang w:eastAsia="zh-Hans"/>
        </w:rPr>
        <w:t>、与医疗单位签订协议不规范、</w:t>
      </w:r>
      <w:r>
        <w:rPr>
          <w:rFonts w:hint="eastAsia" w:ascii="仿宋_GB2312" w:hAnsi="仿宋_GB2312" w:eastAsia="仿宋_GB2312" w:cs="仿宋_GB2312"/>
          <w:kern w:val="0"/>
          <w:szCs w:val="32"/>
        </w:rPr>
        <w:t>老年人能力评估</w:t>
      </w:r>
      <w:r>
        <w:rPr>
          <w:rFonts w:hint="eastAsia" w:ascii="仿宋_GB2312" w:hAnsi="仿宋_GB2312" w:eastAsia="仿宋_GB2312" w:cs="仿宋_GB2312"/>
          <w:kern w:val="0"/>
          <w:szCs w:val="32"/>
          <w:lang w:eastAsia="zh-Hans"/>
        </w:rPr>
        <w:t>报告不规范等问题，一定程度影响了补贴发放的准确性及项目产出的质量。评价认为，项目产出质量</w:t>
      </w:r>
      <w:r>
        <w:rPr>
          <w:rFonts w:hint="eastAsia" w:ascii="仿宋_GB2312" w:hAnsi="仿宋_GB2312" w:eastAsia="仿宋_GB2312" w:cs="仿宋_GB2312"/>
          <w:kern w:val="0"/>
          <w:szCs w:val="32"/>
        </w:rPr>
        <w:t>有待进一步提高</w:t>
      </w:r>
      <w:r>
        <w:rPr>
          <w:rFonts w:hint="eastAsia" w:ascii="仿宋_GB2312" w:hAnsi="仿宋_GB2312" w:eastAsia="仿宋_GB2312" w:cs="仿宋_GB2312"/>
          <w:kern w:val="0"/>
          <w:szCs w:val="32"/>
          <w:lang w:eastAsia="zh-Hans"/>
        </w:rPr>
        <w:t>。</w:t>
      </w:r>
    </w:p>
    <w:p>
      <w:pPr>
        <w:pStyle w:val="4"/>
        <w:keepNext w:val="0"/>
        <w:keepLines w:val="0"/>
        <w:ind w:firstLine="643"/>
        <w:rPr>
          <w:rFonts w:hint="eastAsia" w:ascii="仿宋_GB2312" w:hAnsi="仿宋_GB2312" w:eastAsia="仿宋_GB2312" w:cs="仿宋_GB2312"/>
          <w:kern w:val="0"/>
          <w:lang w:eastAsia="zh-Hans"/>
        </w:rPr>
      </w:pPr>
      <w:r>
        <w:rPr>
          <w:rFonts w:hint="eastAsia" w:ascii="仿宋_GB2312" w:hAnsi="仿宋_GB2312" w:eastAsia="仿宋_GB2312" w:cs="仿宋_GB2312"/>
          <w:lang w:eastAsia="zh-Hans"/>
        </w:rPr>
        <w:t>3.产出进度</w:t>
      </w:r>
    </w:p>
    <w:p>
      <w:pPr>
        <w:ind w:firstLine="640"/>
        <w:rPr>
          <w:rFonts w:hint="eastAsia" w:ascii="仿宋_GB2312" w:hAnsi="仿宋_GB2312" w:eastAsia="仿宋_GB2312" w:cs="仿宋_GB2312"/>
        </w:rPr>
      </w:pPr>
      <w:r>
        <w:rPr>
          <w:rFonts w:hint="eastAsia" w:ascii="仿宋_GB2312" w:hAnsi="仿宋_GB2312" w:eastAsia="仿宋_GB2312" w:cs="仿宋_GB2312"/>
        </w:rPr>
        <w:t>根据《北京市民政局关于进一步做好养老机构运营补贴工作的通知》（京民养老发〔2020〕16号）要求，</w:t>
      </w:r>
      <w:r>
        <w:rPr>
          <w:rFonts w:hint="eastAsia" w:ascii="仿宋_GB2312" w:hAnsi="仿宋_GB2312" w:eastAsia="仿宋_GB2312" w:cs="仿宋_GB2312"/>
          <w:lang w:eastAsia="zh-Hans"/>
        </w:rPr>
        <w:t>各区应于</w:t>
      </w:r>
      <w:r>
        <w:rPr>
          <w:rFonts w:hint="eastAsia" w:ascii="仿宋_GB2312" w:hAnsi="仿宋_GB2312" w:eastAsia="仿宋_GB2312" w:cs="仿宋_GB2312"/>
        </w:rPr>
        <w:t>每年9月、次年3月底前完成常态化运营补贴资金拨付；根据</w:t>
      </w:r>
      <w:r>
        <w:rPr>
          <w:rFonts w:hint="eastAsia" w:ascii="仿宋_GB2312" w:hAnsi="仿宋_GB2312" w:eastAsia="仿宋_GB2312" w:cs="仿宋_GB2312"/>
          <w:lang w:eastAsia="zh-CN"/>
        </w:rPr>
        <w:t>有关</w:t>
      </w:r>
      <w:r>
        <w:rPr>
          <w:rFonts w:hint="eastAsia" w:ascii="仿宋_GB2312" w:hAnsi="仿宋_GB2312" w:eastAsia="仿宋_GB2312" w:cs="仿宋_GB2312"/>
        </w:rPr>
        <w:t>要求，新增的</w:t>
      </w:r>
      <w:r>
        <w:rPr>
          <w:rFonts w:hint="eastAsia" w:ascii="仿宋_GB2312" w:hAnsi="仿宋_GB2312" w:eastAsia="仿宋_GB2312" w:cs="仿宋_GB2312"/>
          <w:lang w:eastAsia="zh-Hans"/>
        </w:rPr>
        <w:t>疫情期间</w:t>
      </w:r>
      <w:r>
        <w:rPr>
          <w:rFonts w:hint="eastAsia" w:ascii="仿宋_GB2312" w:hAnsi="仿宋_GB2312" w:eastAsia="仿宋_GB2312" w:cs="仿宋_GB2312"/>
        </w:rPr>
        <w:t>运营补贴</w:t>
      </w:r>
      <w:r>
        <w:rPr>
          <w:rFonts w:hint="eastAsia" w:ascii="仿宋_GB2312" w:hAnsi="仿宋_GB2312" w:eastAsia="仿宋_GB2312" w:cs="仿宋_GB2312"/>
          <w:lang w:eastAsia="zh-Hans"/>
        </w:rPr>
        <w:t>应</w:t>
      </w:r>
      <w:r>
        <w:rPr>
          <w:rFonts w:hint="eastAsia" w:ascii="仿宋_GB2312" w:hAnsi="仿宋_GB2312" w:eastAsia="仿宋_GB2312" w:cs="仿宋_GB2312"/>
        </w:rPr>
        <w:t>于2022年7月中旬一次性拨付至养老服务机构。受新冠疫情和首都</w:t>
      </w:r>
      <w:r>
        <w:rPr>
          <w:rFonts w:hint="eastAsia" w:ascii="仿宋_GB2312" w:hAnsi="仿宋_GB2312" w:eastAsia="仿宋_GB2312" w:cs="仿宋_GB2312"/>
          <w:lang w:eastAsia="zh-Hans"/>
        </w:rPr>
        <w:t>疫情</w:t>
      </w:r>
      <w:r>
        <w:rPr>
          <w:rFonts w:hint="eastAsia" w:ascii="仿宋_GB2312" w:hAnsi="仿宋_GB2312" w:eastAsia="仿宋_GB2312" w:cs="仿宋_GB2312"/>
        </w:rPr>
        <w:t>防控工作</w:t>
      </w:r>
      <w:r>
        <w:rPr>
          <w:rFonts w:hint="eastAsia" w:ascii="仿宋_GB2312" w:hAnsi="仿宋_GB2312" w:eastAsia="仿宋_GB2312" w:cs="仿宋_GB2312"/>
          <w:lang w:eastAsia="zh-Hans"/>
        </w:rPr>
        <w:t>影响</w:t>
      </w:r>
      <w:r>
        <w:rPr>
          <w:rFonts w:hint="eastAsia" w:ascii="仿宋_GB2312" w:hAnsi="仿宋_GB2312" w:eastAsia="仿宋_GB2312" w:cs="仿宋_GB2312"/>
        </w:rPr>
        <w:t>，截至2022</w:t>
      </w:r>
      <w:r>
        <w:rPr>
          <w:rFonts w:hint="eastAsia" w:ascii="仿宋_GB2312" w:hAnsi="仿宋_GB2312" w:eastAsia="仿宋_GB2312" w:cs="仿宋_GB2312"/>
          <w:lang w:eastAsia="zh-Hans"/>
        </w:rPr>
        <w:t>年12月</w:t>
      </w:r>
      <w:r>
        <w:rPr>
          <w:rFonts w:hint="eastAsia" w:ascii="仿宋_GB2312" w:hAnsi="仿宋_GB2312" w:eastAsia="仿宋_GB2312" w:cs="仿宋_GB2312"/>
        </w:rPr>
        <w:t>，房山区、东城区、西城区、密云区、怀柔区、昌平区、石景山区</w:t>
      </w:r>
      <w:r>
        <w:rPr>
          <w:rFonts w:hint="eastAsia" w:ascii="仿宋_GB2312" w:hAnsi="仿宋_GB2312" w:eastAsia="仿宋_GB2312" w:cs="仿宋_GB2312"/>
          <w:lang w:eastAsia="zh-Hans"/>
        </w:rPr>
        <w:t>尚未</w:t>
      </w:r>
      <w:r>
        <w:rPr>
          <w:rFonts w:hint="eastAsia" w:ascii="仿宋_GB2312" w:hAnsi="仿宋_GB2312" w:eastAsia="仿宋_GB2312" w:cs="仿宋_GB2312"/>
        </w:rPr>
        <w:t>将2022年上半年运营补贴资金</w:t>
      </w:r>
      <w:r>
        <w:rPr>
          <w:rFonts w:hint="eastAsia" w:ascii="仿宋_GB2312" w:hAnsi="仿宋_GB2312" w:eastAsia="仿宋_GB2312" w:cs="仿宋_GB2312"/>
          <w:lang w:eastAsia="zh-Hans"/>
        </w:rPr>
        <w:t>拨付</w:t>
      </w:r>
      <w:r>
        <w:rPr>
          <w:rFonts w:hint="eastAsia" w:ascii="仿宋_GB2312" w:hAnsi="仿宋_GB2312" w:eastAsia="仿宋_GB2312" w:cs="仿宋_GB2312"/>
        </w:rPr>
        <w:t>至</w:t>
      </w:r>
      <w:r>
        <w:rPr>
          <w:rFonts w:hint="eastAsia" w:ascii="仿宋_GB2312" w:hAnsi="仿宋_GB2312" w:eastAsia="仿宋_GB2312" w:cs="仿宋_GB2312"/>
          <w:lang w:eastAsia="zh-Hans"/>
        </w:rPr>
        <w:t>养老机构</w:t>
      </w:r>
      <w:r>
        <w:rPr>
          <w:rFonts w:hint="eastAsia" w:ascii="仿宋_GB2312" w:hAnsi="仿宋_GB2312" w:eastAsia="仿宋_GB2312" w:cs="仿宋_GB2312"/>
        </w:rPr>
        <w:t>。</w:t>
      </w:r>
      <w:r>
        <w:rPr>
          <w:rFonts w:hint="eastAsia" w:ascii="仿宋_GB2312" w:hAnsi="仿宋_GB2312" w:eastAsia="仿宋_GB2312" w:cs="仿宋_GB2312"/>
          <w:b/>
          <w:bCs/>
        </w:rPr>
        <w:t>评价认为</w:t>
      </w:r>
      <w:r>
        <w:rPr>
          <w:rFonts w:hint="eastAsia" w:ascii="仿宋_GB2312" w:hAnsi="仿宋_GB2312" w:eastAsia="仿宋_GB2312" w:cs="仿宋_GB2312"/>
        </w:rPr>
        <w:t>，</w:t>
      </w:r>
      <w:r>
        <w:rPr>
          <w:rFonts w:hint="eastAsia" w:ascii="仿宋_GB2312" w:hAnsi="仿宋_GB2312" w:eastAsia="仿宋_GB2312" w:cs="仿宋_GB2312"/>
          <w:lang w:eastAsia="zh-Hans"/>
        </w:rPr>
        <w:t>项目资金执行进度滞后</w:t>
      </w:r>
      <w:r>
        <w:rPr>
          <w:rFonts w:hint="eastAsia" w:ascii="仿宋_GB2312" w:hAnsi="仿宋_GB2312" w:eastAsia="仿宋_GB2312" w:cs="仿宋_GB2312"/>
        </w:rPr>
        <w:t>，产出</w:t>
      </w:r>
      <w:r>
        <w:rPr>
          <w:rFonts w:hint="eastAsia" w:ascii="仿宋_GB2312" w:hAnsi="仿宋_GB2312" w:eastAsia="仿宋_GB2312" w:cs="仿宋_GB2312"/>
          <w:lang w:eastAsia="zh-Hans"/>
        </w:rPr>
        <w:t>进度一般</w:t>
      </w:r>
      <w:r>
        <w:rPr>
          <w:rFonts w:hint="eastAsia" w:ascii="仿宋_GB2312" w:hAnsi="仿宋_GB2312" w:eastAsia="仿宋_GB2312" w:cs="仿宋_GB2312"/>
        </w:rPr>
        <w:t>。</w:t>
      </w:r>
      <w:bookmarkStart w:id="106" w:name="_Toc103094576"/>
    </w:p>
    <w:p>
      <w:pPr>
        <w:ind w:firstLine="643"/>
        <w:outlineLvl w:val="2"/>
        <w:rPr>
          <w:rFonts w:hint="eastAsia" w:ascii="仿宋_GB2312" w:hAnsi="仿宋_GB2312" w:eastAsia="仿宋_GB2312" w:cs="仿宋_GB2312"/>
          <w:b/>
          <w:bCs/>
        </w:rPr>
      </w:pPr>
      <w:r>
        <w:rPr>
          <w:rFonts w:hint="eastAsia" w:ascii="仿宋_GB2312" w:hAnsi="仿宋_GB2312" w:eastAsia="仿宋_GB2312" w:cs="仿宋_GB2312"/>
          <w:b/>
          <w:bCs/>
        </w:rPr>
        <w:t>4.产出成本</w:t>
      </w:r>
      <w:bookmarkEnd w:id="106"/>
    </w:p>
    <w:p>
      <w:pPr>
        <w:widowControl/>
        <w:ind w:firstLine="640"/>
        <w:rPr>
          <w:rFonts w:hint="eastAsia" w:ascii="仿宋_GB2312" w:hAnsi="仿宋_GB2312" w:eastAsia="仿宋_GB2312" w:cs="仿宋_GB2312"/>
          <w:b/>
          <w:bCs/>
        </w:rPr>
      </w:pPr>
      <w:r>
        <w:rPr>
          <w:rFonts w:hint="eastAsia" w:ascii="仿宋_GB2312" w:hAnsi="仿宋_GB2312" w:eastAsia="仿宋_GB2312" w:cs="仿宋_GB2312"/>
          <w:color w:val="000000"/>
        </w:rPr>
        <w:t>2022年项目共支</w:t>
      </w:r>
      <w:r>
        <w:rPr>
          <w:rFonts w:hint="eastAsia" w:ascii="仿宋_GB2312" w:hAnsi="仿宋_GB2312" w:eastAsia="仿宋_GB2312" w:cs="仿宋_GB2312"/>
          <w:b w:val="0"/>
          <w:bCs w:val="0"/>
          <w:color w:val="000000"/>
        </w:rPr>
        <w:t>出27,160.44</w:t>
      </w:r>
      <w:r>
        <w:rPr>
          <w:rFonts w:hint="eastAsia" w:ascii="仿宋_GB2312" w:hAnsi="仿宋_GB2312" w:eastAsia="仿宋_GB2312" w:cs="仿宋_GB2312"/>
          <w:color w:val="000000"/>
        </w:rPr>
        <w:t>万元，未超出预算控制数。</w:t>
      </w:r>
      <w:r>
        <w:rPr>
          <w:rFonts w:hint="eastAsia" w:ascii="仿宋_GB2312" w:hAnsi="仿宋_GB2312" w:eastAsia="仿宋_GB2312" w:cs="仿宋_GB2312"/>
          <w:b/>
          <w:bCs/>
          <w:color w:val="000000"/>
          <w:lang w:eastAsia="zh-Hans"/>
        </w:rPr>
        <w:t>评价认为</w:t>
      </w:r>
      <w:r>
        <w:rPr>
          <w:rFonts w:hint="eastAsia" w:ascii="仿宋_GB2312" w:hAnsi="仿宋_GB2312" w:eastAsia="仿宋_GB2312" w:cs="仿宋_GB2312"/>
          <w:color w:val="000000"/>
          <w:lang w:eastAsia="zh-Hans"/>
        </w:rPr>
        <w:t>，</w:t>
      </w:r>
      <w:r>
        <w:rPr>
          <w:rFonts w:hint="eastAsia" w:ascii="仿宋_GB2312" w:hAnsi="仿宋_GB2312" w:eastAsia="仿宋_GB2312" w:cs="仿宋_GB2312"/>
          <w:color w:val="000000"/>
        </w:rPr>
        <w:t>社会办养老机构的运营补贴标准符合</w:t>
      </w:r>
      <w:r>
        <w:rPr>
          <w:rFonts w:hint="eastAsia" w:ascii="仿宋_GB2312" w:hAnsi="仿宋_GB2312" w:eastAsia="仿宋_GB2312" w:cs="仿宋_GB2312"/>
          <w:color w:val="000000"/>
          <w:lang w:eastAsia="zh-Hans"/>
        </w:rPr>
        <w:t>管理办法中的相关</w:t>
      </w:r>
      <w:r>
        <w:rPr>
          <w:rFonts w:hint="eastAsia" w:ascii="仿宋_GB2312" w:hAnsi="仿宋_GB2312" w:eastAsia="仿宋_GB2312" w:cs="仿宋_GB2312"/>
          <w:color w:val="000000"/>
        </w:rPr>
        <w:t>要求，</w:t>
      </w:r>
      <w:r>
        <w:rPr>
          <w:rFonts w:hint="eastAsia" w:ascii="仿宋_GB2312" w:hAnsi="仿宋_GB2312" w:eastAsia="仿宋_GB2312" w:cs="仿宋_GB2312"/>
          <w:color w:val="000000"/>
          <w:lang w:eastAsia="zh-Hans"/>
        </w:rPr>
        <w:t>项目单位</w:t>
      </w:r>
      <w:r>
        <w:rPr>
          <w:rFonts w:hint="eastAsia" w:ascii="仿宋_GB2312" w:hAnsi="仿宋_GB2312" w:eastAsia="仿宋_GB2312" w:cs="仿宋_GB2312"/>
          <w:color w:val="000000"/>
        </w:rPr>
        <w:t>具备一定的成本控制意识，</w:t>
      </w:r>
      <w:r>
        <w:rPr>
          <w:rFonts w:hint="eastAsia" w:ascii="仿宋_GB2312" w:hAnsi="仿宋_GB2312" w:eastAsia="仿宋_GB2312" w:cs="仿宋_GB2312"/>
          <w:color w:val="000000"/>
          <w:lang w:eastAsia="zh-Hans"/>
        </w:rPr>
        <w:t>但</w:t>
      </w:r>
      <w:r>
        <w:rPr>
          <w:rFonts w:hint="eastAsia" w:ascii="仿宋_GB2312" w:hAnsi="仿宋_GB2312" w:eastAsia="仿宋_GB2312" w:cs="仿宋_GB2312"/>
          <w:lang w:eastAsia="zh-Hans"/>
        </w:rPr>
        <w:t>市社会福利综合管理平台</w:t>
      </w:r>
      <w:r>
        <w:rPr>
          <w:rFonts w:hint="eastAsia" w:ascii="仿宋_GB2312" w:hAnsi="仿宋_GB2312" w:eastAsia="仿宋_GB2312" w:cs="仿宋_GB2312"/>
        </w:rPr>
        <w:t>对项目实施的信息化支撑功能仍待完善</w:t>
      </w:r>
      <w:r>
        <w:rPr>
          <w:rFonts w:hint="eastAsia" w:ascii="仿宋_GB2312" w:hAnsi="仿宋_GB2312" w:eastAsia="仿宋_GB2312" w:cs="仿宋_GB2312"/>
          <w:lang w:eastAsia="zh-Hans"/>
        </w:rPr>
        <w:t>，</w:t>
      </w:r>
      <w:r>
        <w:rPr>
          <w:rFonts w:hint="eastAsia" w:ascii="仿宋_GB2312" w:hAnsi="仿宋_GB2312" w:eastAsia="仿宋_GB2312" w:cs="仿宋_GB2312"/>
          <w:color w:val="000000"/>
          <w:lang w:eastAsia="zh-Hans"/>
        </w:rPr>
        <w:t>大量现场检查、审核、评估以及调查等工作</w:t>
      </w:r>
      <w:r>
        <w:rPr>
          <w:rFonts w:hint="eastAsia" w:ascii="仿宋_GB2312" w:hAnsi="仿宋_GB2312" w:eastAsia="仿宋_GB2312" w:cs="仿宋_GB2312"/>
          <w:color w:val="000000"/>
        </w:rPr>
        <w:t>需</w:t>
      </w:r>
      <w:r>
        <w:rPr>
          <w:rFonts w:hint="eastAsia" w:ascii="仿宋_GB2312" w:hAnsi="仿宋_GB2312" w:eastAsia="仿宋_GB2312" w:cs="仿宋_GB2312"/>
          <w:color w:val="000000"/>
          <w:lang w:eastAsia="zh-Hans"/>
        </w:rPr>
        <w:t>委托第三方机构</w:t>
      </w:r>
      <w:r>
        <w:rPr>
          <w:rFonts w:hint="eastAsia" w:ascii="仿宋_GB2312" w:hAnsi="仿宋_GB2312" w:eastAsia="仿宋_GB2312" w:cs="仿宋_GB2312"/>
          <w:color w:val="000000"/>
        </w:rPr>
        <w:t>开展，</w:t>
      </w:r>
      <w:r>
        <w:rPr>
          <w:rFonts w:hint="eastAsia" w:ascii="仿宋_GB2312" w:hAnsi="仿宋_GB2312" w:eastAsia="仿宋_GB2312" w:cs="仿宋_GB2312"/>
          <w:color w:val="000000"/>
          <w:lang w:eastAsia="zh-Hans"/>
        </w:rPr>
        <w:t>政策执行成本偏高</w:t>
      </w:r>
      <w:r>
        <w:rPr>
          <w:rFonts w:hint="eastAsia" w:ascii="仿宋_GB2312" w:hAnsi="仿宋_GB2312" w:eastAsia="仿宋_GB2312" w:cs="仿宋_GB2312"/>
          <w:color w:val="000000"/>
        </w:rPr>
        <w:t>。</w:t>
      </w:r>
    </w:p>
    <w:p>
      <w:pPr>
        <w:ind w:firstLine="640"/>
        <w:outlineLvl w:val="1"/>
        <w:rPr>
          <w:rFonts w:hint="eastAsia" w:ascii="楷体_GB2312" w:hAnsi="楷体_GB2312" w:eastAsia="楷体_GB2312" w:cs="楷体_GB2312"/>
          <w:b/>
          <w:bCs/>
        </w:rPr>
      </w:pPr>
      <w:bookmarkStart w:id="107" w:name="_Toc760320660"/>
      <w:bookmarkStart w:id="108" w:name="_Toc103096323"/>
      <w:bookmarkStart w:id="109" w:name="_Toc103094577"/>
      <w:bookmarkStart w:id="110" w:name="_Toc908205482"/>
      <w:bookmarkStart w:id="111" w:name="_Toc270946785"/>
      <w:r>
        <w:rPr>
          <w:rFonts w:hint="eastAsia" w:ascii="楷体_GB2312" w:hAnsi="楷体_GB2312" w:eastAsia="楷体_GB2312" w:cs="楷体_GB2312"/>
          <w:bCs/>
        </w:rPr>
        <w:t>（四）项目效益情况</w:t>
      </w:r>
      <w:bookmarkEnd w:id="107"/>
      <w:bookmarkEnd w:id="108"/>
      <w:bookmarkEnd w:id="109"/>
      <w:bookmarkEnd w:id="110"/>
      <w:bookmarkEnd w:id="111"/>
    </w:p>
    <w:p>
      <w:pPr>
        <w:pStyle w:val="4"/>
        <w:keepNext w:val="0"/>
        <w:keepLines w:val="0"/>
        <w:ind w:firstLine="643"/>
        <w:rPr>
          <w:rFonts w:hint="eastAsia" w:ascii="仿宋_GB2312" w:hAnsi="仿宋_GB2312" w:eastAsia="仿宋_GB2312" w:cs="仿宋_GB2312"/>
          <w:color w:val="000000"/>
        </w:rPr>
      </w:pPr>
      <w:bookmarkStart w:id="112" w:name="_Toc103094578"/>
      <w:r>
        <w:rPr>
          <w:rFonts w:hint="eastAsia" w:ascii="仿宋_GB2312" w:hAnsi="仿宋_GB2312" w:eastAsia="仿宋_GB2312" w:cs="仿宋_GB2312"/>
          <w:color w:val="000000"/>
        </w:rPr>
        <w:t>1.</w:t>
      </w:r>
      <w:r>
        <w:rPr>
          <w:rFonts w:hint="eastAsia" w:ascii="仿宋_GB2312" w:hAnsi="仿宋_GB2312" w:eastAsia="仿宋_GB2312" w:cs="仿宋_GB2312"/>
        </w:rPr>
        <w:t>社会效益及可持续影响分析</w:t>
      </w:r>
      <w:bookmarkEnd w:id="112"/>
    </w:p>
    <w:p>
      <w:pPr>
        <w:widowControl/>
        <w:ind w:firstLine="640"/>
        <w:rPr>
          <w:rFonts w:hint="eastAsia" w:ascii="仿宋_GB2312" w:hAnsi="仿宋_GB2312" w:eastAsia="仿宋_GB2312" w:cs="仿宋_GB2312"/>
          <w:lang w:eastAsia="zh-Hans"/>
        </w:rPr>
      </w:pPr>
      <w:bookmarkStart w:id="113" w:name="_Toc103094579"/>
      <w:r>
        <w:rPr>
          <w:rFonts w:hint="eastAsia" w:ascii="仿宋_GB2312" w:hAnsi="仿宋_GB2312" w:eastAsia="仿宋_GB2312" w:cs="仿宋_GB2312"/>
          <w:bCs/>
          <w:lang w:eastAsia="zh-Hans"/>
        </w:rPr>
        <w:t>2019年-2022年北京市社会办养老机构数量及入住率受疫情等因素影响有所下降，但星级机构占比及医养结合率逐年上升，2022年度入住养老机构的老年人新冠疫苗首针接种率达76.76%。</w:t>
      </w:r>
      <w:r>
        <w:rPr>
          <w:rFonts w:hint="eastAsia" w:ascii="仿宋_GB2312" w:hAnsi="仿宋_GB2312" w:eastAsia="仿宋_GB2312" w:cs="仿宋_GB2312"/>
          <w:b/>
          <w:bCs/>
        </w:rPr>
        <w:t>评价认为</w:t>
      </w:r>
      <w:r>
        <w:rPr>
          <w:rFonts w:hint="eastAsia" w:ascii="仿宋_GB2312" w:hAnsi="仿宋_GB2312" w:eastAsia="仿宋_GB2312" w:cs="仿宋_GB2312"/>
        </w:rPr>
        <w:t>，</w:t>
      </w:r>
      <w:r>
        <w:rPr>
          <w:rFonts w:hint="eastAsia" w:ascii="仿宋_GB2312" w:hAnsi="仿宋_GB2312" w:eastAsia="仿宋_GB2312" w:cs="仿宋_GB2312"/>
          <w:bCs/>
          <w:lang w:eastAsia="zh-Hans"/>
        </w:rPr>
        <w:t>该项目落实了国家及市</w:t>
      </w:r>
      <w:r>
        <w:rPr>
          <w:rFonts w:hint="eastAsia" w:ascii="仿宋_GB2312" w:hAnsi="仿宋_GB2312" w:eastAsia="仿宋_GB2312" w:cs="仿宋_GB2312"/>
          <w:bCs/>
        </w:rPr>
        <w:t>级</w:t>
      </w:r>
      <w:r>
        <w:rPr>
          <w:rFonts w:hint="eastAsia" w:ascii="仿宋_GB2312" w:hAnsi="仿宋_GB2312" w:eastAsia="仿宋_GB2312" w:cs="仿宋_GB2312"/>
          <w:bCs/>
          <w:lang w:eastAsia="zh-Hans"/>
        </w:rPr>
        <w:t>纾困政策，一定程度上减轻了疫情对养老服务机构运营影响，引导养老机构进一步提升养老服务质量，</w:t>
      </w:r>
      <w:r>
        <w:rPr>
          <w:rFonts w:hint="eastAsia" w:ascii="仿宋_GB2312" w:hAnsi="仿宋_GB2312" w:eastAsia="仿宋_GB2312" w:cs="仿宋_GB2312"/>
        </w:rPr>
        <w:t>社会效益和可持续影响良好。</w:t>
      </w:r>
      <w:r>
        <w:rPr>
          <w:rFonts w:hint="eastAsia" w:ascii="仿宋_GB2312" w:hAnsi="仿宋_GB2312" w:eastAsia="仿宋_GB2312" w:cs="仿宋_GB2312"/>
          <w:lang w:eastAsia="zh-Hans"/>
        </w:rPr>
        <w:t>项目具体效益情况见下表。</w:t>
      </w:r>
    </w:p>
    <w:p>
      <w:pPr>
        <w:widowControl/>
        <w:spacing w:after="217" w:afterLines="50"/>
        <w:ind w:firstLine="0" w:firstLineChars="0"/>
        <w:jc w:val="center"/>
        <w:rPr>
          <w:rFonts w:cs="Times New Roman"/>
          <w:lang w:eastAsia="zh-Hans"/>
        </w:rPr>
      </w:pPr>
      <w:r>
        <w:rPr>
          <w:rFonts w:hint="eastAsia" w:eastAsia="黑体" w:cs="Times New Roman"/>
          <w:sz w:val="28"/>
          <w:szCs w:val="28"/>
          <w:lang w:eastAsia="zh-Hans"/>
        </w:rPr>
        <w:t>表</w:t>
      </w:r>
      <w:r>
        <w:rPr>
          <w:rFonts w:eastAsia="黑体" w:cs="Times New Roman"/>
          <w:sz w:val="28"/>
          <w:szCs w:val="28"/>
          <w:lang w:eastAsia="zh-Hans"/>
        </w:rPr>
        <w:t>7</w:t>
      </w:r>
      <w:r>
        <w:rPr>
          <w:rFonts w:hint="eastAsia" w:eastAsia="黑体" w:cs="Times New Roman"/>
          <w:sz w:val="28"/>
          <w:szCs w:val="28"/>
          <w:lang w:eastAsia="zh-Hans"/>
        </w:rPr>
        <w:t xml:space="preserve"> 社会办养老机构床位运营补贴效益情况数据表</w:t>
      </w:r>
    </w:p>
    <w:tbl>
      <w:tblPr>
        <w:tblStyle w:val="20"/>
        <w:tblW w:w="4997" w:type="pct"/>
        <w:tblInd w:w="0" w:type="dxa"/>
        <w:tblLayout w:type="autofit"/>
        <w:tblCellMar>
          <w:top w:w="0" w:type="dxa"/>
          <w:left w:w="108" w:type="dxa"/>
          <w:bottom w:w="0" w:type="dxa"/>
          <w:right w:w="108" w:type="dxa"/>
        </w:tblCellMar>
      </w:tblPr>
      <w:tblGrid>
        <w:gridCol w:w="607"/>
        <w:gridCol w:w="607"/>
        <w:gridCol w:w="1940"/>
        <w:gridCol w:w="1179"/>
        <w:gridCol w:w="991"/>
        <w:gridCol w:w="1369"/>
        <w:gridCol w:w="1184"/>
        <w:gridCol w:w="1179"/>
      </w:tblGrid>
      <w:tr>
        <w:tblPrEx>
          <w:tblCellMar>
            <w:top w:w="0" w:type="dxa"/>
            <w:left w:w="108" w:type="dxa"/>
            <w:bottom w:w="0" w:type="dxa"/>
            <w:right w:w="108" w:type="dxa"/>
          </w:tblCellMar>
        </w:tblPrEx>
        <w:trPr>
          <w:trHeight w:val="1020" w:hRule="atLeast"/>
        </w:trPr>
        <w:tc>
          <w:tcPr>
            <w:tcW w:w="33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序号</w:t>
            </w:r>
          </w:p>
        </w:tc>
        <w:tc>
          <w:tcPr>
            <w:tcW w:w="33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年度</w:t>
            </w:r>
          </w:p>
        </w:tc>
        <w:tc>
          <w:tcPr>
            <w:tcW w:w="107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社会办养老机构</w:t>
            </w:r>
            <w:r>
              <w:rPr>
                <w:rFonts w:hint="eastAsia" w:ascii="宋体" w:hAnsi="宋体" w:eastAsia="宋体" w:cs="宋体"/>
                <w:b/>
                <w:bCs/>
                <w:color w:val="000000"/>
                <w:kern w:val="0"/>
                <w:sz w:val="18"/>
                <w:szCs w:val="18"/>
                <w:lang w:bidi="ar"/>
              </w:rPr>
              <w:br w:type="textWrapping"/>
            </w:r>
            <w:r>
              <w:rPr>
                <w:rFonts w:hint="eastAsia" w:ascii="宋体" w:hAnsi="宋体" w:eastAsia="宋体" w:cs="宋体"/>
                <w:b/>
                <w:bCs/>
                <w:color w:val="000000"/>
                <w:kern w:val="0"/>
                <w:sz w:val="18"/>
                <w:szCs w:val="18"/>
                <w:lang w:bidi="ar"/>
              </w:rPr>
              <w:t>（含照料中心）数量</w:t>
            </w:r>
          </w:p>
        </w:tc>
        <w:tc>
          <w:tcPr>
            <w:tcW w:w="65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平均入住率</w:t>
            </w:r>
          </w:p>
        </w:tc>
        <w:tc>
          <w:tcPr>
            <w:tcW w:w="964"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spacing w:line="300" w:lineRule="exact"/>
              <w:ind w:firstLine="0" w:firstLineChars="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val="en-US" w:eastAsia="zh-CN" w:bidi="ar"/>
              </w:rPr>
              <w:t>星级</w:t>
            </w:r>
            <w:r>
              <w:rPr>
                <w:rFonts w:hint="eastAsia" w:ascii="宋体" w:hAnsi="宋体" w:eastAsia="宋体" w:cs="宋体"/>
                <w:b/>
                <w:bCs/>
                <w:color w:val="000000"/>
                <w:kern w:val="0"/>
                <w:sz w:val="18"/>
                <w:szCs w:val="18"/>
                <w:lang w:val="en-US" w:eastAsia="zh-CN" w:bidi="ar"/>
              </w:rPr>
              <w:br w:type="textWrapping"/>
            </w:r>
            <w:r>
              <w:rPr>
                <w:rFonts w:hint="eastAsia" w:ascii="宋体" w:hAnsi="宋体" w:eastAsia="宋体" w:cs="宋体"/>
                <w:b/>
                <w:bCs/>
                <w:color w:val="000000"/>
                <w:kern w:val="0"/>
                <w:sz w:val="18"/>
                <w:szCs w:val="18"/>
                <w:lang w:val="en-US" w:eastAsia="zh-CN" w:bidi="ar"/>
              </w:rPr>
              <w:t>单位数量</w:t>
            </w:r>
          </w:p>
        </w:tc>
        <w:tc>
          <w:tcPr>
            <w:tcW w:w="75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星级机构占比</w:t>
            </w:r>
          </w:p>
        </w:tc>
        <w:tc>
          <w:tcPr>
            <w:tcW w:w="115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spacing w:line="300" w:lineRule="exact"/>
              <w:ind w:firstLine="0" w:firstLineChars="0"/>
              <w:jc w:val="center"/>
              <w:textAlignment w:val="center"/>
              <w:rPr>
                <w:rFonts w:hint="eastAsia" w:ascii="宋体" w:hAnsi="宋体" w:eastAsia="宋体" w:cs="宋体"/>
                <w:b/>
                <w:bCs/>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医养结合</w:t>
            </w:r>
            <w:r>
              <w:rPr>
                <w:rFonts w:hint="eastAsia" w:ascii="宋体" w:hAnsi="宋体" w:eastAsia="宋体" w:cs="宋体"/>
                <w:b/>
                <w:bCs/>
                <w:color w:val="000000"/>
                <w:kern w:val="0"/>
                <w:sz w:val="18"/>
                <w:szCs w:val="18"/>
                <w:lang w:val="en-US" w:eastAsia="zh-CN" w:bidi="ar"/>
              </w:rPr>
              <w:br w:type="textWrapping"/>
            </w:r>
            <w:r>
              <w:rPr>
                <w:rFonts w:hint="eastAsia" w:ascii="宋体" w:hAnsi="宋体" w:eastAsia="宋体" w:cs="宋体"/>
                <w:b/>
                <w:bCs/>
                <w:color w:val="000000"/>
                <w:kern w:val="0"/>
                <w:sz w:val="18"/>
                <w:szCs w:val="18"/>
                <w:lang w:val="en-US" w:eastAsia="zh-CN" w:bidi="ar"/>
              </w:rPr>
              <w:t>单位数量</w:t>
            </w:r>
          </w:p>
        </w:tc>
        <w:tc>
          <w:tcPr>
            <w:tcW w:w="65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spacing w:line="300" w:lineRule="exact"/>
              <w:ind w:firstLine="0" w:firstLineChars="0"/>
              <w:jc w:val="center"/>
              <w:textAlignment w:val="center"/>
              <w:rPr>
                <w:rFonts w:ascii="宋体" w:hAnsi="宋体" w:eastAsia="宋体" w:cs="宋体"/>
                <w:b/>
                <w:bCs/>
                <w:color w:val="000000"/>
                <w:kern w:val="0"/>
                <w:sz w:val="18"/>
                <w:szCs w:val="18"/>
                <w:lang w:eastAsia="zh-Hans" w:bidi="ar"/>
              </w:rPr>
            </w:pPr>
            <w:r>
              <w:rPr>
                <w:rFonts w:hint="eastAsia" w:ascii="宋体" w:hAnsi="宋体" w:eastAsia="宋体" w:cs="宋体"/>
                <w:b/>
                <w:bCs/>
                <w:color w:val="000000"/>
                <w:kern w:val="0"/>
                <w:sz w:val="18"/>
                <w:szCs w:val="18"/>
                <w:lang w:eastAsia="zh-Hans" w:bidi="ar"/>
              </w:rPr>
              <w:t>医养结合率</w:t>
            </w:r>
          </w:p>
        </w:tc>
      </w:tr>
      <w:tr>
        <w:tblPrEx>
          <w:tblCellMar>
            <w:top w:w="0" w:type="dxa"/>
            <w:left w:w="108" w:type="dxa"/>
            <w:bottom w:w="0" w:type="dxa"/>
            <w:right w:w="108" w:type="dxa"/>
          </w:tblCellMar>
        </w:tblPrEx>
        <w:trPr>
          <w:trHeight w:val="336"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2019</w:t>
            </w:r>
          </w:p>
        </w:tc>
        <w:tc>
          <w:tcPr>
            <w:tcW w:w="10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415</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45%</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204</w:t>
            </w: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49.16%</w:t>
            </w:r>
          </w:p>
        </w:tc>
        <w:tc>
          <w:tcPr>
            <w:tcW w:w="1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333</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80.24%</w:t>
            </w:r>
          </w:p>
        </w:tc>
      </w:tr>
      <w:tr>
        <w:tblPrEx>
          <w:tblCellMar>
            <w:top w:w="0" w:type="dxa"/>
            <w:left w:w="108" w:type="dxa"/>
            <w:bottom w:w="0" w:type="dxa"/>
            <w:right w:w="108" w:type="dxa"/>
          </w:tblCellMar>
        </w:tblPrEx>
        <w:trPr>
          <w:trHeight w:val="336"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2020</w:t>
            </w:r>
          </w:p>
        </w:tc>
        <w:tc>
          <w:tcPr>
            <w:tcW w:w="10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429</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41%</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281</w:t>
            </w: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65.50%</w:t>
            </w:r>
          </w:p>
        </w:tc>
        <w:tc>
          <w:tcPr>
            <w:tcW w:w="1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401</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93.47%</w:t>
            </w:r>
          </w:p>
        </w:tc>
      </w:tr>
      <w:tr>
        <w:tblPrEx>
          <w:tblCellMar>
            <w:top w:w="0" w:type="dxa"/>
            <w:left w:w="108" w:type="dxa"/>
            <w:bottom w:w="0" w:type="dxa"/>
            <w:right w:w="108" w:type="dxa"/>
          </w:tblCellMar>
        </w:tblPrEx>
        <w:trPr>
          <w:trHeight w:val="336"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3</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2021</w:t>
            </w:r>
          </w:p>
        </w:tc>
        <w:tc>
          <w:tcPr>
            <w:tcW w:w="10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428</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42%</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315</w:t>
            </w: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73.60%</w:t>
            </w:r>
          </w:p>
        </w:tc>
        <w:tc>
          <w:tcPr>
            <w:tcW w:w="1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416</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97.20%</w:t>
            </w:r>
          </w:p>
        </w:tc>
      </w:tr>
      <w:tr>
        <w:tblPrEx>
          <w:tblCellMar>
            <w:top w:w="0" w:type="dxa"/>
            <w:left w:w="108" w:type="dxa"/>
            <w:bottom w:w="0" w:type="dxa"/>
            <w:right w:w="108" w:type="dxa"/>
          </w:tblCellMar>
        </w:tblPrEx>
        <w:trPr>
          <w:trHeight w:val="336"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4</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w:t>
            </w:r>
          </w:p>
        </w:tc>
        <w:tc>
          <w:tcPr>
            <w:tcW w:w="10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407</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36%</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311</w:t>
            </w: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76.41%</w:t>
            </w:r>
          </w:p>
        </w:tc>
        <w:tc>
          <w:tcPr>
            <w:tcW w:w="11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398</w:t>
            </w: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97.79%</w:t>
            </w:r>
          </w:p>
        </w:tc>
      </w:tr>
    </w:tbl>
    <w:p>
      <w:pPr>
        <w:pStyle w:val="4"/>
        <w:keepNext w:val="0"/>
        <w:keepLines w:val="0"/>
        <w:spacing w:before="217" w:beforeLines="50"/>
        <w:ind w:firstLine="643"/>
        <w:rPr>
          <w:rFonts w:hint="eastAsia" w:ascii="仿宋_GB2312" w:hAnsi="仿宋_GB2312" w:eastAsia="仿宋_GB2312" w:cs="仿宋_GB2312"/>
        </w:rPr>
      </w:pPr>
      <w:r>
        <w:rPr>
          <w:rFonts w:hint="eastAsia" w:ascii="仿宋_GB2312" w:hAnsi="仿宋_GB2312" w:eastAsia="仿宋_GB2312" w:cs="仿宋_GB2312"/>
        </w:rPr>
        <w:t>2.服务对象满意度分析</w:t>
      </w:r>
      <w:bookmarkEnd w:id="113"/>
      <w:bookmarkStart w:id="114" w:name="_Hlk103088464"/>
    </w:p>
    <w:p>
      <w:pPr>
        <w:ind w:firstLine="640"/>
        <w:rPr>
          <w:rFonts w:hint="eastAsia" w:ascii="仿宋_GB2312" w:hAnsi="仿宋_GB2312" w:eastAsia="仿宋_GB2312" w:cs="仿宋_GB2312"/>
        </w:rPr>
      </w:pPr>
      <w:r>
        <w:rPr>
          <w:rFonts w:hint="eastAsia" w:ascii="仿宋_GB2312" w:hAnsi="仿宋_GB2312" w:eastAsia="仿宋_GB2312" w:cs="仿宋_GB2312"/>
          <w:lang w:eastAsia="zh-Hans"/>
        </w:rPr>
        <w:t>市民政局委托第三方机构</w:t>
      </w:r>
      <w:r>
        <w:rPr>
          <w:rFonts w:hint="eastAsia" w:ascii="仿宋_GB2312" w:hAnsi="仿宋_GB2312" w:eastAsia="仿宋_GB2312" w:cs="仿宋_GB2312"/>
        </w:rPr>
        <w:t>对</w:t>
      </w:r>
      <w:r>
        <w:rPr>
          <w:rFonts w:hint="eastAsia" w:ascii="仿宋_GB2312" w:hAnsi="仿宋_GB2312" w:eastAsia="仿宋_GB2312" w:cs="仿宋_GB2312"/>
          <w:lang w:eastAsia="zh-Hans"/>
        </w:rPr>
        <w:t>老年人入住养老机构的满意度</w:t>
      </w:r>
      <w:r>
        <w:rPr>
          <w:rFonts w:hint="eastAsia" w:ascii="仿宋_GB2312" w:hAnsi="仿宋_GB2312" w:eastAsia="仿宋_GB2312" w:cs="仿宋_GB2312"/>
        </w:rPr>
        <w:t>开展</w:t>
      </w:r>
      <w:r>
        <w:rPr>
          <w:rFonts w:hint="eastAsia" w:ascii="仿宋_GB2312" w:hAnsi="仿宋_GB2312" w:eastAsia="仿宋_GB2312" w:cs="仿宋_GB2312"/>
          <w:lang w:eastAsia="zh-Hans"/>
        </w:rPr>
        <w:t>调查，调查内容涉及资源提供、服务感知、价值感知、顾客抱怨、顾客忠诚等5个二级指标，服务人员、设施设备、出入院服务、生活照料服务、清洁卫生服务、洗涤服务、医疗护理服务、康复服务、文化娱乐服务、心理/精神支持服务、安宁服务、安全照护服务、其他服务、价格评价、投诉情况、支持程度等17个三级指标。2022年</w:t>
      </w:r>
      <w:r>
        <w:rPr>
          <w:rFonts w:hint="eastAsia" w:ascii="仿宋_GB2312" w:hAnsi="仿宋_GB2312" w:eastAsia="仿宋_GB2312" w:cs="仿宋_GB2312"/>
          <w:szCs w:val="32"/>
        </w:rPr>
        <w:t>满意度调查工作覆盖</w:t>
      </w:r>
      <w:r>
        <w:rPr>
          <w:rFonts w:hint="eastAsia" w:ascii="仿宋_GB2312" w:hAnsi="仿宋_GB2312" w:eastAsia="仿宋_GB2312" w:cs="仿宋_GB2312"/>
          <w:szCs w:val="32"/>
          <w:lang w:eastAsia="zh-Hans"/>
        </w:rPr>
        <w:t>全市16区共495家养老机构，收集有效样本9320个</w:t>
      </w:r>
      <w:r>
        <w:rPr>
          <w:rFonts w:hint="eastAsia" w:ascii="仿宋_GB2312" w:hAnsi="仿宋_GB2312" w:eastAsia="仿宋_GB2312" w:cs="仿宋_GB2312"/>
          <w:szCs w:val="32"/>
        </w:rPr>
        <w:t>，调查结果显示老年人综合满意度为89</w:t>
      </w:r>
      <w:r>
        <w:rPr>
          <w:rFonts w:hint="eastAsia" w:ascii="仿宋_GB2312" w:hAnsi="仿宋_GB2312" w:eastAsia="仿宋_GB2312" w:cs="仿宋_GB2312"/>
          <w:szCs w:val="32"/>
          <w:lang w:eastAsia="zh-Hans"/>
        </w:rPr>
        <w:t>.20</w:t>
      </w:r>
      <w:r>
        <w:rPr>
          <w:rFonts w:hint="eastAsia" w:ascii="仿宋_GB2312" w:hAnsi="仿宋_GB2312" w:eastAsia="仿宋_GB2312" w:cs="仿宋_GB2312"/>
          <w:szCs w:val="32"/>
        </w:rPr>
        <w:t>%。</w:t>
      </w:r>
      <w:r>
        <w:rPr>
          <w:rFonts w:hint="eastAsia" w:ascii="仿宋_GB2312" w:hAnsi="仿宋_GB2312" w:eastAsia="仿宋_GB2312" w:cs="仿宋_GB2312"/>
          <w:b/>
          <w:bCs/>
          <w:szCs w:val="32"/>
        </w:rPr>
        <w:t>评价认为，</w:t>
      </w:r>
      <w:r>
        <w:rPr>
          <w:rFonts w:hint="eastAsia" w:ascii="仿宋_GB2312" w:hAnsi="仿宋_GB2312" w:eastAsia="仿宋_GB2312" w:cs="仿宋_GB2312"/>
          <w:szCs w:val="32"/>
          <w:lang w:eastAsia="zh-Hans"/>
        </w:rPr>
        <w:t>项目服务对象</w:t>
      </w:r>
      <w:r>
        <w:rPr>
          <w:rFonts w:hint="eastAsia" w:ascii="仿宋_GB2312" w:hAnsi="仿宋_GB2312" w:eastAsia="仿宋_GB2312" w:cs="仿宋_GB2312"/>
          <w:szCs w:val="32"/>
        </w:rPr>
        <w:t>满意</w:t>
      </w:r>
      <w:r>
        <w:rPr>
          <w:rFonts w:hint="eastAsia" w:ascii="仿宋_GB2312" w:hAnsi="仿宋_GB2312" w:eastAsia="仿宋_GB2312" w:cs="仿宋_GB2312"/>
          <w:szCs w:val="32"/>
          <w:lang w:eastAsia="zh-Hans"/>
        </w:rPr>
        <w:t>度达成预期目标</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但</w:t>
      </w:r>
      <w:r>
        <w:rPr>
          <w:rFonts w:hint="eastAsia" w:ascii="仿宋_GB2312" w:hAnsi="仿宋_GB2312" w:eastAsia="仿宋_GB2312" w:cs="仿宋_GB2312"/>
          <w:szCs w:val="32"/>
        </w:rPr>
        <w:t>仍需进一步提高。</w:t>
      </w:r>
    </w:p>
    <w:bookmarkEnd w:id="114"/>
    <w:p>
      <w:pPr>
        <w:pStyle w:val="2"/>
        <w:keepNext w:val="0"/>
        <w:keepLines w:val="0"/>
        <w:spacing w:line="560" w:lineRule="exact"/>
        <w:ind w:firstLine="640"/>
        <w:rPr>
          <w:rFonts w:eastAsia="黑体" w:cs="Times New Roman"/>
          <w:b w:val="0"/>
          <w:bCs w:val="0"/>
          <w:szCs w:val="32"/>
        </w:rPr>
      </w:pPr>
      <w:bookmarkStart w:id="115" w:name="_Toc515586356"/>
      <w:bookmarkStart w:id="116" w:name="_Toc1137283855"/>
      <w:bookmarkStart w:id="117" w:name="_Toc2043256745"/>
      <w:bookmarkStart w:id="118" w:name="_Toc1181632970"/>
      <w:bookmarkStart w:id="119" w:name="_Toc103094580"/>
      <w:bookmarkStart w:id="120" w:name="_Toc103096324"/>
      <w:r>
        <w:rPr>
          <w:rFonts w:eastAsia="黑体" w:cs="Times New Roman"/>
          <w:b w:val="0"/>
          <w:bCs w:val="0"/>
          <w:szCs w:val="32"/>
        </w:rPr>
        <w:t>五、</w:t>
      </w:r>
      <w:bookmarkEnd w:id="115"/>
      <w:r>
        <w:rPr>
          <w:rFonts w:eastAsia="黑体" w:cs="Times New Roman"/>
          <w:b w:val="0"/>
          <w:bCs w:val="0"/>
          <w:szCs w:val="32"/>
        </w:rPr>
        <w:t>主要经验及做法、存在的问题及原因分析</w:t>
      </w:r>
      <w:bookmarkEnd w:id="116"/>
      <w:bookmarkEnd w:id="117"/>
      <w:bookmarkEnd w:id="118"/>
      <w:bookmarkEnd w:id="119"/>
      <w:bookmarkEnd w:id="120"/>
    </w:p>
    <w:p>
      <w:pPr>
        <w:ind w:firstLine="640"/>
        <w:outlineLvl w:val="1"/>
        <w:rPr>
          <w:rFonts w:hint="eastAsia" w:ascii="楷体_GB2312" w:hAnsi="楷体_GB2312" w:eastAsia="楷体_GB2312" w:cs="楷体_GB2312"/>
          <w:b/>
          <w:bCs/>
        </w:rPr>
      </w:pPr>
      <w:bookmarkStart w:id="121" w:name="_Toc1924042981"/>
      <w:bookmarkStart w:id="122" w:name="_Toc1725292685"/>
      <w:bookmarkStart w:id="123" w:name="_Toc605114038"/>
      <w:bookmarkStart w:id="124" w:name="_Toc103096325"/>
      <w:bookmarkStart w:id="125" w:name="_Toc103094581"/>
      <w:r>
        <w:rPr>
          <w:rFonts w:hint="eastAsia" w:ascii="楷体_GB2312" w:hAnsi="楷体_GB2312" w:eastAsia="楷体_GB2312" w:cs="楷体_GB2312"/>
          <w:bCs/>
        </w:rPr>
        <w:t>（一）主要经验及做法</w:t>
      </w:r>
      <w:bookmarkEnd w:id="121"/>
      <w:bookmarkEnd w:id="122"/>
      <w:bookmarkEnd w:id="123"/>
      <w:bookmarkEnd w:id="124"/>
      <w:bookmarkEnd w:id="125"/>
    </w:p>
    <w:p>
      <w:pPr>
        <w:ind w:firstLine="640"/>
        <w:rPr>
          <w:rFonts w:hint="eastAsia" w:ascii="仿宋_GB2312" w:hAnsi="仿宋_GB2312" w:eastAsia="仿宋_GB2312" w:cs="仿宋_GB2312"/>
          <w:lang w:eastAsia="zh-Hans"/>
        </w:rPr>
      </w:pPr>
      <w:bookmarkStart w:id="126" w:name="_Toc74305490"/>
      <w:r>
        <w:rPr>
          <w:rFonts w:hint="eastAsia" w:ascii="仿宋_GB2312" w:hAnsi="仿宋_GB2312" w:eastAsia="仿宋_GB2312" w:cs="仿宋_GB2312"/>
          <w:lang w:eastAsia="zh-Hans"/>
        </w:rPr>
        <w:t>市民政局目前正全面推行养老服务合同网签模式</w:t>
      </w:r>
      <w:bookmarkEnd w:id="126"/>
      <w:r>
        <w:rPr>
          <w:rFonts w:hint="eastAsia" w:ascii="仿宋_GB2312" w:hAnsi="仿宋_GB2312" w:eastAsia="仿宋_GB2312" w:cs="仿宋_GB2312"/>
          <w:lang w:eastAsia="zh-Hans"/>
        </w:rPr>
        <w:t>，</w:t>
      </w:r>
      <w:r>
        <w:rPr>
          <w:rFonts w:hint="eastAsia" w:ascii="仿宋_GB2312" w:hAnsi="仿宋_GB2312" w:eastAsia="仿宋_GB2312" w:cs="仿宋_GB2312"/>
        </w:rPr>
        <w:t>便于</w:t>
      </w:r>
      <w:r>
        <w:rPr>
          <w:rFonts w:hint="eastAsia" w:ascii="仿宋_GB2312" w:hAnsi="仿宋_GB2312" w:eastAsia="仿宋_GB2312" w:cs="仿宋_GB2312"/>
          <w:lang w:eastAsia="zh-Hans"/>
        </w:rPr>
        <w:t>及时掌握老年人入院、出院、信息变更等情况，加强服务行为过程监管，有效减少合同隐患纠纷，</w:t>
      </w:r>
      <w:r>
        <w:rPr>
          <w:rFonts w:hint="eastAsia" w:ascii="仿宋_GB2312" w:hAnsi="仿宋_GB2312" w:eastAsia="仿宋_GB2312" w:cs="仿宋_GB2312"/>
        </w:rPr>
        <w:t>确保补贴资金精准发放</w:t>
      </w:r>
      <w:r>
        <w:rPr>
          <w:rFonts w:hint="eastAsia" w:ascii="仿宋_GB2312" w:hAnsi="仿宋_GB2312" w:eastAsia="仿宋_GB2312" w:cs="仿宋_GB2312"/>
          <w:lang w:eastAsia="zh-Hans"/>
        </w:rPr>
        <w:t>。</w:t>
      </w:r>
    </w:p>
    <w:p>
      <w:pPr>
        <w:ind w:firstLine="640"/>
        <w:outlineLvl w:val="1"/>
        <w:rPr>
          <w:rFonts w:hint="eastAsia" w:ascii="楷体_GB2312" w:hAnsi="楷体_GB2312" w:eastAsia="楷体_GB2312" w:cs="楷体_GB2312"/>
          <w:b/>
          <w:bCs/>
        </w:rPr>
      </w:pPr>
      <w:bookmarkStart w:id="127" w:name="_Toc103094582"/>
      <w:bookmarkStart w:id="128" w:name="_Toc1816568121"/>
      <w:bookmarkStart w:id="129" w:name="_Toc1669955001"/>
      <w:bookmarkStart w:id="130" w:name="_Toc103096326"/>
      <w:bookmarkStart w:id="131" w:name="_Toc581625141"/>
      <w:r>
        <w:rPr>
          <w:rFonts w:hint="eastAsia" w:ascii="楷体_GB2312" w:hAnsi="楷体_GB2312" w:eastAsia="楷体_GB2312" w:cs="楷体_GB2312"/>
          <w:bCs/>
        </w:rPr>
        <w:t>（二）存在的问题及原因分析</w:t>
      </w:r>
      <w:bookmarkEnd w:id="127"/>
      <w:bookmarkEnd w:id="128"/>
      <w:bookmarkEnd w:id="129"/>
      <w:bookmarkEnd w:id="130"/>
      <w:bookmarkEnd w:id="131"/>
      <w:bookmarkStart w:id="132" w:name="_Hlk103092622"/>
    </w:p>
    <w:p>
      <w:pPr>
        <w:ind w:firstLine="643"/>
        <w:rPr>
          <w:rFonts w:hint="eastAsia" w:ascii="仿宋_GB2312" w:hAnsi="仿宋_GB2312" w:eastAsia="仿宋_GB2312" w:cs="仿宋_GB2312"/>
          <w:b/>
          <w:bCs/>
          <w:color w:val="000000"/>
        </w:rPr>
      </w:pPr>
      <w:r>
        <w:rPr>
          <w:rFonts w:hint="eastAsia" w:ascii="仿宋_GB2312" w:hAnsi="仿宋_GB2312" w:eastAsia="仿宋_GB2312" w:cs="仿宋_GB2312"/>
          <w:b/>
          <w:bCs/>
          <w:kern w:val="44"/>
        </w:rPr>
        <w:t>1.</w:t>
      </w:r>
      <w:r>
        <w:rPr>
          <w:rFonts w:hint="eastAsia" w:ascii="仿宋_GB2312" w:hAnsi="仿宋_GB2312" w:eastAsia="仿宋_GB2312" w:cs="仿宋_GB2312"/>
          <w:b/>
          <w:bCs/>
          <w:kern w:val="44"/>
          <w:lang w:eastAsia="zh-Hans"/>
        </w:rPr>
        <w:t>项目管理机制有待完善，信息化管理水平有待提高</w:t>
      </w:r>
    </w:p>
    <w:p>
      <w:pPr>
        <w:ind w:firstLine="640"/>
        <w:rPr>
          <w:rFonts w:hint="eastAsia" w:ascii="仿宋_GB2312" w:hAnsi="仿宋_GB2312" w:eastAsia="仿宋_GB2312" w:cs="仿宋_GB2312"/>
          <w:lang w:eastAsia="zh-Hans"/>
        </w:rPr>
      </w:pPr>
      <w:r>
        <w:rPr>
          <w:rFonts w:hint="eastAsia" w:ascii="仿宋_GB2312" w:hAnsi="仿宋_GB2312" w:eastAsia="仿宋_GB2312" w:cs="仿宋_GB2312"/>
          <w:lang w:eastAsia="zh-Hans"/>
        </w:rPr>
        <w:t>市社会福利综合管理平台</w:t>
      </w:r>
      <w:r>
        <w:rPr>
          <w:rFonts w:hint="eastAsia" w:ascii="仿宋_GB2312" w:hAnsi="仿宋_GB2312" w:eastAsia="仿宋_GB2312" w:cs="仿宋_GB2312"/>
        </w:rPr>
        <w:t>尚未</w:t>
      </w:r>
      <w:r>
        <w:rPr>
          <w:rFonts w:hint="eastAsia" w:ascii="仿宋_GB2312" w:hAnsi="仿宋_GB2312" w:eastAsia="仿宋_GB2312" w:cs="仿宋_GB2312"/>
          <w:lang w:eastAsia="zh-Hans"/>
        </w:rPr>
        <w:t>实现养老服务事项全流程监管、服务内容和过程全要素记录、各级各部门信息全数据互通、养老服务数据全口径分析</w:t>
      </w:r>
      <w:r>
        <w:rPr>
          <w:rFonts w:hint="eastAsia" w:ascii="仿宋_GB2312" w:hAnsi="仿宋_GB2312" w:eastAsia="仿宋_GB2312" w:cs="仿宋_GB2312"/>
        </w:rPr>
        <w:t>等功能</w:t>
      </w:r>
      <w:r>
        <w:rPr>
          <w:rFonts w:hint="eastAsia" w:ascii="仿宋_GB2312" w:hAnsi="仿宋_GB2312" w:eastAsia="仿宋_GB2312" w:cs="仿宋_GB2312"/>
          <w:lang w:eastAsia="zh-Hans"/>
        </w:rPr>
        <w:t>，平台中</w:t>
      </w:r>
      <w:r>
        <w:rPr>
          <w:rFonts w:hint="eastAsia" w:ascii="仿宋_GB2312" w:hAnsi="仿宋_GB2312" w:eastAsia="仿宋_GB2312" w:cs="仿宋_GB2312"/>
        </w:rPr>
        <w:t>部分</w:t>
      </w:r>
      <w:r>
        <w:rPr>
          <w:rFonts w:hint="eastAsia" w:ascii="仿宋_GB2312" w:hAnsi="仿宋_GB2312" w:eastAsia="仿宋_GB2312" w:cs="仿宋_GB2312"/>
          <w:lang w:eastAsia="zh-Hans"/>
        </w:rPr>
        <w:t>信息由养老机构自行</w:t>
      </w:r>
      <w:r>
        <w:rPr>
          <w:rFonts w:hint="eastAsia" w:ascii="仿宋_GB2312" w:hAnsi="仿宋_GB2312" w:eastAsia="仿宋_GB2312" w:cs="仿宋_GB2312"/>
        </w:rPr>
        <w:t>填写</w:t>
      </w:r>
      <w:r>
        <w:rPr>
          <w:rFonts w:hint="eastAsia" w:ascii="仿宋_GB2312" w:hAnsi="仿宋_GB2312" w:eastAsia="仿宋_GB2312" w:cs="仿宋_GB2312"/>
          <w:lang w:eastAsia="zh-Hans"/>
        </w:rPr>
        <w:t>，数据真实性、准确性不足，项目全流程动态管理</w:t>
      </w:r>
      <w:r>
        <w:rPr>
          <w:rFonts w:hint="eastAsia" w:ascii="仿宋_GB2312" w:hAnsi="仿宋_GB2312" w:eastAsia="仿宋_GB2312" w:cs="仿宋_GB2312"/>
        </w:rPr>
        <w:t>缺乏信息化支撑，项目线下审核工作量较大，影响项目执行效率和质量。此外，</w:t>
      </w:r>
      <w:r>
        <w:rPr>
          <w:rFonts w:hint="eastAsia" w:ascii="仿宋_GB2312" w:hAnsi="仿宋_GB2312" w:eastAsia="仿宋_GB2312" w:cs="仿宋_GB2312"/>
          <w:lang w:eastAsia="zh-Hans"/>
        </w:rPr>
        <w:t>各区运营补贴具体发放金额未能实现信息化管理，</w:t>
      </w:r>
      <w:r>
        <w:rPr>
          <w:rFonts w:hint="eastAsia" w:ascii="仿宋_GB2312" w:hAnsi="仿宋_GB2312" w:eastAsia="仿宋_GB2312" w:cs="仿宋_GB2312"/>
        </w:rPr>
        <w:t>影响资金监管时效。</w:t>
      </w:r>
    </w:p>
    <w:p>
      <w:pPr>
        <w:ind w:firstLine="643"/>
        <w:rPr>
          <w:rFonts w:hint="eastAsia" w:ascii="仿宋_GB2312" w:hAnsi="仿宋_GB2312" w:eastAsia="仿宋_GB2312" w:cs="仿宋_GB2312"/>
          <w:b/>
          <w:bCs/>
          <w:kern w:val="44"/>
        </w:rPr>
      </w:pPr>
      <w:r>
        <w:rPr>
          <w:rFonts w:hint="eastAsia" w:ascii="仿宋_GB2312" w:hAnsi="仿宋_GB2312" w:eastAsia="仿宋_GB2312" w:cs="仿宋_GB2312"/>
          <w:b/>
          <w:bCs/>
          <w:kern w:val="44"/>
        </w:rPr>
        <w:t>2.预算执行</w:t>
      </w:r>
      <w:r>
        <w:rPr>
          <w:rFonts w:hint="eastAsia" w:ascii="仿宋_GB2312" w:hAnsi="仿宋_GB2312" w:eastAsia="仿宋_GB2312" w:cs="仿宋_GB2312"/>
          <w:b/>
          <w:bCs/>
          <w:kern w:val="44"/>
          <w:lang w:eastAsia="zh-Hans"/>
        </w:rPr>
        <w:t>进度滞后，资金使用合规性有待提高</w:t>
      </w:r>
    </w:p>
    <w:p>
      <w:pPr>
        <w:ind w:firstLine="643"/>
        <w:rPr>
          <w:rFonts w:hint="eastAsia" w:ascii="仿宋_GB2312" w:hAnsi="仿宋_GB2312" w:eastAsia="仿宋_GB2312" w:cs="仿宋_GB2312"/>
          <w:lang w:eastAsia="zh-Hans"/>
        </w:rPr>
      </w:pPr>
      <w:r>
        <w:rPr>
          <w:rFonts w:hint="eastAsia" w:ascii="仿宋_GB2312" w:hAnsi="仿宋_GB2312" w:eastAsia="仿宋_GB2312" w:cs="仿宋_GB2312"/>
          <w:b/>
          <w:bCs/>
          <w:lang w:eastAsia="zh-Hans"/>
        </w:rPr>
        <w:t>一是</w:t>
      </w:r>
      <w:r>
        <w:rPr>
          <w:rFonts w:hint="eastAsia" w:ascii="仿宋_GB2312" w:hAnsi="仿宋_GB2312" w:eastAsia="仿宋_GB2312" w:cs="仿宋_GB2312"/>
          <w:lang w:eastAsia="zh-Hans"/>
        </w:rPr>
        <w:t>个别区未按照管理办法的时限要求及时将运营补贴拨付至养老机构，资金执行进度滞后。</w:t>
      </w:r>
      <w:r>
        <w:rPr>
          <w:rFonts w:hint="eastAsia" w:ascii="仿宋_GB2312" w:hAnsi="仿宋_GB2312" w:eastAsia="仿宋_GB2312" w:cs="仿宋_GB2312"/>
          <w:b/>
          <w:bCs/>
          <w:lang w:eastAsia="zh-Hans"/>
        </w:rPr>
        <w:t>二是</w:t>
      </w:r>
      <w:r>
        <w:rPr>
          <w:rFonts w:hint="eastAsia" w:ascii="仿宋_GB2312" w:hAnsi="仿宋_GB2312" w:eastAsia="仿宋_GB2312" w:cs="仿宋_GB2312"/>
          <w:lang w:eastAsia="zh-Hans"/>
        </w:rPr>
        <w:t>养老机构在资金使用合规性方面存在未独立核算、会计核算不规范、超范围支出运营补贴资金等问题。</w:t>
      </w:r>
    </w:p>
    <w:p>
      <w:pPr>
        <w:ind w:firstLine="643"/>
        <w:rPr>
          <w:rFonts w:hint="eastAsia" w:ascii="仿宋_GB2312" w:hAnsi="仿宋_GB2312" w:eastAsia="仿宋_GB2312" w:cs="仿宋_GB2312"/>
          <w:b/>
          <w:bCs/>
          <w:kern w:val="44"/>
          <w:lang w:eastAsia="zh-Hans"/>
        </w:rPr>
      </w:pPr>
      <w:r>
        <w:rPr>
          <w:rFonts w:hint="eastAsia" w:ascii="仿宋_GB2312" w:hAnsi="仿宋_GB2312" w:eastAsia="仿宋_GB2312" w:cs="仿宋_GB2312"/>
          <w:b/>
          <w:bCs/>
          <w:kern w:val="44"/>
        </w:rPr>
        <w:t>3.</w:t>
      </w:r>
      <w:r>
        <w:rPr>
          <w:rFonts w:hint="eastAsia" w:ascii="仿宋_GB2312" w:hAnsi="仿宋_GB2312" w:eastAsia="仿宋_GB2312" w:cs="仿宋_GB2312"/>
          <w:b/>
          <w:bCs/>
          <w:lang w:eastAsia="zh-Hans"/>
        </w:rPr>
        <w:t>绩效管理意识有待提高</w:t>
      </w:r>
      <w:r>
        <w:rPr>
          <w:rFonts w:hint="eastAsia" w:ascii="仿宋_GB2312" w:hAnsi="仿宋_GB2312" w:eastAsia="仿宋_GB2312" w:cs="仿宋_GB2312"/>
          <w:b/>
          <w:bCs/>
        </w:rPr>
        <w:t>，</w:t>
      </w:r>
      <w:r>
        <w:rPr>
          <w:rFonts w:hint="eastAsia" w:ascii="仿宋_GB2312" w:hAnsi="仿宋_GB2312" w:eastAsia="仿宋_GB2312" w:cs="仿宋_GB2312"/>
          <w:b/>
          <w:bCs/>
          <w:lang w:eastAsia="zh-Hans"/>
        </w:rPr>
        <w:t>政策执行</w:t>
      </w:r>
      <w:r>
        <w:rPr>
          <w:rFonts w:hint="eastAsia" w:ascii="仿宋_GB2312" w:hAnsi="仿宋_GB2312" w:eastAsia="仿宋_GB2312" w:cs="仿宋_GB2312"/>
          <w:b/>
          <w:bCs/>
        </w:rPr>
        <w:t>成本</w:t>
      </w:r>
      <w:r>
        <w:rPr>
          <w:rFonts w:hint="eastAsia" w:ascii="仿宋_GB2312" w:hAnsi="仿宋_GB2312" w:eastAsia="仿宋_GB2312" w:cs="仿宋_GB2312"/>
          <w:b/>
          <w:bCs/>
          <w:lang w:eastAsia="zh-Hans"/>
        </w:rPr>
        <w:t>偏高</w:t>
      </w:r>
    </w:p>
    <w:p>
      <w:pPr>
        <w:ind w:firstLine="643"/>
        <w:rPr>
          <w:rFonts w:hint="eastAsia" w:ascii="仿宋_GB2312" w:hAnsi="仿宋_GB2312" w:eastAsia="仿宋_GB2312" w:cs="仿宋_GB2312"/>
          <w:b/>
          <w:szCs w:val="32"/>
        </w:rPr>
      </w:pPr>
      <w:r>
        <w:rPr>
          <w:rFonts w:hint="eastAsia" w:ascii="仿宋_GB2312" w:hAnsi="仿宋_GB2312" w:eastAsia="仿宋_GB2312" w:cs="仿宋_GB2312"/>
          <w:b/>
          <w:bCs/>
          <w:lang w:eastAsia="zh-Hans"/>
        </w:rPr>
        <w:t>一是</w:t>
      </w:r>
      <w:r>
        <w:rPr>
          <w:rFonts w:hint="eastAsia" w:ascii="仿宋_GB2312" w:hAnsi="仿宋_GB2312" w:eastAsia="仿宋_GB2312" w:cs="仿宋_GB2312"/>
          <w:lang w:eastAsia="zh-Hans"/>
        </w:rPr>
        <w:t>绩效指标设置不够合理，如产出数量指标与项目资金支持范围不对应，产出质量指标及社会效益指标可衡量性不足。</w:t>
      </w:r>
      <w:r>
        <w:rPr>
          <w:rFonts w:hint="eastAsia" w:ascii="仿宋_GB2312" w:hAnsi="仿宋_GB2312" w:eastAsia="仿宋_GB2312" w:cs="仿宋_GB2312"/>
          <w:b/>
          <w:bCs/>
          <w:lang w:eastAsia="zh-Hans"/>
        </w:rPr>
        <w:t>二是</w:t>
      </w:r>
      <w:r>
        <w:rPr>
          <w:rFonts w:hint="eastAsia" w:ascii="仿宋_GB2312" w:hAnsi="仿宋_GB2312" w:eastAsia="仿宋_GB2312" w:cs="仿宋_GB2312"/>
          <w:lang w:eastAsia="zh-Hans"/>
        </w:rPr>
        <w:t>由于项目信息化管理程度不够，大量现场检查、审核、评估以及调查等工作</w:t>
      </w:r>
      <w:r>
        <w:rPr>
          <w:rFonts w:hint="eastAsia" w:ascii="仿宋_GB2312" w:hAnsi="仿宋_GB2312" w:eastAsia="仿宋_GB2312" w:cs="仿宋_GB2312"/>
        </w:rPr>
        <w:t>需</w:t>
      </w:r>
      <w:r>
        <w:rPr>
          <w:rFonts w:hint="eastAsia" w:ascii="仿宋_GB2312" w:hAnsi="仿宋_GB2312" w:eastAsia="仿宋_GB2312" w:cs="仿宋_GB2312"/>
          <w:lang w:eastAsia="zh-Hans"/>
        </w:rPr>
        <w:t>委托第三方机构</w:t>
      </w:r>
      <w:r>
        <w:rPr>
          <w:rFonts w:hint="eastAsia" w:ascii="仿宋_GB2312" w:hAnsi="仿宋_GB2312" w:eastAsia="仿宋_GB2312" w:cs="仿宋_GB2312"/>
        </w:rPr>
        <w:t>开展</w:t>
      </w:r>
      <w:r>
        <w:rPr>
          <w:rFonts w:hint="eastAsia" w:ascii="仿宋_GB2312" w:hAnsi="仿宋_GB2312" w:eastAsia="仿宋_GB2312" w:cs="仿宋_GB2312"/>
          <w:lang w:eastAsia="zh-Hans"/>
        </w:rPr>
        <w:t>，政策执行成本偏高。</w:t>
      </w:r>
    </w:p>
    <w:bookmarkEnd w:id="132"/>
    <w:p>
      <w:pPr>
        <w:pStyle w:val="2"/>
        <w:keepNext w:val="0"/>
        <w:keepLines w:val="0"/>
        <w:spacing w:line="560" w:lineRule="exact"/>
        <w:ind w:firstLine="640"/>
        <w:rPr>
          <w:rFonts w:hint="eastAsia" w:ascii="黑体" w:hAnsi="黑体" w:eastAsia="黑体" w:cs="黑体"/>
          <w:b w:val="0"/>
          <w:bCs w:val="0"/>
          <w:szCs w:val="32"/>
        </w:rPr>
      </w:pPr>
      <w:bookmarkStart w:id="133" w:name="_Toc515586361"/>
      <w:bookmarkStart w:id="134" w:name="_Toc285400248"/>
      <w:bookmarkStart w:id="135" w:name="_Toc103096327"/>
      <w:bookmarkStart w:id="136" w:name="_Toc12426"/>
      <w:bookmarkStart w:id="137" w:name="_Toc1469919164"/>
      <w:bookmarkStart w:id="138" w:name="_Toc22688"/>
      <w:bookmarkStart w:id="139" w:name="_Toc21478"/>
      <w:bookmarkStart w:id="140" w:name="_Toc15164"/>
      <w:bookmarkStart w:id="141" w:name="_Toc28183643"/>
      <w:bookmarkStart w:id="142" w:name="_Toc103094583"/>
      <w:r>
        <w:rPr>
          <w:rFonts w:hint="eastAsia" w:ascii="黑体" w:hAnsi="黑体" w:eastAsia="黑体" w:cs="黑体"/>
          <w:b w:val="0"/>
          <w:bCs w:val="0"/>
          <w:szCs w:val="32"/>
        </w:rPr>
        <w:t>六、有关建议</w:t>
      </w:r>
      <w:bookmarkEnd w:id="133"/>
      <w:bookmarkEnd w:id="134"/>
      <w:bookmarkEnd w:id="135"/>
      <w:bookmarkEnd w:id="136"/>
      <w:bookmarkEnd w:id="137"/>
      <w:bookmarkEnd w:id="138"/>
      <w:bookmarkEnd w:id="139"/>
      <w:bookmarkEnd w:id="140"/>
      <w:bookmarkEnd w:id="141"/>
      <w:bookmarkEnd w:id="142"/>
    </w:p>
    <w:p>
      <w:pPr>
        <w:ind w:firstLine="640"/>
        <w:outlineLvl w:val="1"/>
        <w:rPr>
          <w:rFonts w:hint="eastAsia" w:ascii="楷体_GB2312" w:hAnsi="楷体_GB2312" w:eastAsia="楷体_GB2312" w:cs="楷体_GB2312"/>
        </w:rPr>
      </w:pPr>
      <w:bookmarkStart w:id="143" w:name="_Toc72425329"/>
      <w:bookmarkStart w:id="144" w:name="_Toc103096328"/>
      <w:bookmarkStart w:id="145" w:name="_Toc103094584"/>
      <w:bookmarkStart w:id="146" w:name="_Toc279514260"/>
      <w:bookmarkStart w:id="147" w:name="_Toc1390984385"/>
      <w:bookmarkStart w:id="148" w:name="_Toc1236085561"/>
      <w:r>
        <w:rPr>
          <w:rFonts w:hint="eastAsia" w:ascii="楷体_GB2312" w:hAnsi="楷体_GB2312" w:eastAsia="楷体_GB2312" w:cs="楷体_GB2312"/>
          <w:bCs/>
        </w:rPr>
        <w:t>（一）</w:t>
      </w:r>
      <w:bookmarkEnd w:id="143"/>
      <w:r>
        <w:rPr>
          <w:rFonts w:hint="eastAsia" w:ascii="楷体_GB2312" w:hAnsi="楷体_GB2312" w:eastAsia="楷体_GB2312" w:cs="楷体_GB2312"/>
          <w:lang w:eastAsia="zh-Hans"/>
        </w:rPr>
        <w:t>强化项目过程</w:t>
      </w:r>
      <w:r>
        <w:rPr>
          <w:rFonts w:hint="eastAsia" w:ascii="楷体_GB2312" w:hAnsi="楷体_GB2312" w:eastAsia="楷体_GB2312" w:cs="楷体_GB2312"/>
        </w:rPr>
        <w:t>管理</w:t>
      </w:r>
      <w:bookmarkEnd w:id="144"/>
      <w:bookmarkEnd w:id="145"/>
      <w:bookmarkEnd w:id="146"/>
      <w:r>
        <w:rPr>
          <w:rFonts w:hint="eastAsia" w:ascii="楷体_GB2312" w:hAnsi="楷体_GB2312" w:eastAsia="楷体_GB2312" w:cs="楷体_GB2312"/>
        </w:rPr>
        <w:t>，</w:t>
      </w:r>
      <w:r>
        <w:rPr>
          <w:rFonts w:hint="eastAsia" w:ascii="楷体_GB2312" w:hAnsi="楷体_GB2312" w:eastAsia="楷体_GB2312" w:cs="楷体_GB2312"/>
          <w:bCs/>
          <w:lang w:eastAsia="zh-Hans"/>
        </w:rPr>
        <w:t>完善监管机制</w:t>
      </w:r>
      <w:bookmarkEnd w:id="147"/>
      <w:bookmarkEnd w:id="148"/>
    </w:p>
    <w:p>
      <w:pPr>
        <w:ind w:firstLine="643"/>
        <w:rPr>
          <w:rFonts w:hint="eastAsia" w:ascii="仿宋_GB2312" w:hAnsi="仿宋_GB2312" w:eastAsia="仿宋_GB2312" w:cs="仿宋_GB2312"/>
          <w:bCs/>
        </w:rPr>
      </w:pPr>
      <w:bookmarkStart w:id="149" w:name="_Toc72425331"/>
      <w:r>
        <w:rPr>
          <w:rFonts w:hint="eastAsia" w:ascii="仿宋_GB2312" w:hAnsi="仿宋_GB2312" w:eastAsia="仿宋_GB2312" w:cs="仿宋_GB2312"/>
          <w:b/>
        </w:rPr>
        <w:t>一是</w:t>
      </w:r>
      <w:r>
        <w:rPr>
          <w:rFonts w:hint="eastAsia" w:ascii="仿宋_GB2312" w:hAnsi="仿宋_GB2312" w:eastAsia="仿宋_GB2312" w:cs="仿宋_GB2312"/>
          <w:bCs/>
          <w:lang w:eastAsia="zh-Hans"/>
        </w:rPr>
        <w:t>建议项目单位及时处理审计报告发现的问题，督促各区民政局及养老机构整改，</w:t>
      </w:r>
      <w:r>
        <w:rPr>
          <w:rFonts w:hint="eastAsia" w:ascii="仿宋_GB2312" w:hAnsi="仿宋_GB2312" w:eastAsia="仿宋_GB2312" w:cs="仿宋_GB2312"/>
          <w:bCs/>
        </w:rPr>
        <w:t>加强审计结果应用。</w:t>
      </w:r>
      <w:r>
        <w:rPr>
          <w:rFonts w:hint="eastAsia" w:ascii="仿宋_GB2312" w:hAnsi="仿宋_GB2312" w:eastAsia="仿宋_GB2312" w:cs="仿宋_GB2312"/>
          <w:b/>
          <w:color w:val="000000" w:themeColor="text1"/>
          <w14:textFill>
            <w14:solidFill>
              <w14:schemeClr w14:val="tx1"/>
            </w14:solidFill>
          </w14:textFill>
        </w:rPr>
        <w:t>二是</w:t>
      </w:r>
      <w:r>
        <w:rPr>
          <w:rFonts w:hint="eastAsia" w:ascii="仿宋_GB2312" w:hAnsi="仿宋_GB2312" w:eastAsia="仿宋_GB2312" w:cs="仿宋_GB2312"/>
          <w:bCs/>
          <w:color w:val="000000" w:themeColor="text1"/>
          <w:lang w:eastAsia="zh-Hans"/>
          <w14:textFill>
            <w14:solidFill>
              <w14:schemeClr w14:val="tx1"/>
            </w14:solidFill>
          </w14:textFill>
        </w:rPr>
        <w:t>建议</w:t>
      </w:r>
      <w:r>
        <w:rPr>
          <w:rFonts w:hint="eastAsia" w:ascii="仿宋_GB2312" w:hAnsi="仿宋_GB2312" w:eastAsia="仿宋_GB2312" w:cs="仿宋_GB2312"/>
          <w:bCs/>
          <w:color w:val="000000" w:themeColor="text1"/>
          <w14:textFill>
            <w14:solidFill>
              <w14:schemeClr w14:val="tx1"/>
            </w14:solidFill>
          </w14:textFill>
        </w:rPr>
        <w:t>建立市、区两级</w:t>
      </w:r>
      <w:r>
        <w:rPr>
          <w:rFonts w:hint="eastAsia" w:ascii="仿宋_GB2312" w:hAnsi="仿宋_GB2312" w:eastAsia="仿宋_GB2312" w:cs="仿宋_GB2312"/>
          <w:bCs/>
          <w:color w:val="000000" w:themeColor="text1"/>
          <w:lang w:eastAsia="zh-Hans"/>
          <w14:textFill>
            <w14:solidFill>
              <w14:schemeClr w14:val="tx1"/>
            </w14:solidFill>
          </w14:textFill>
        </w:rPr>
        <w:t>民政部门</w:t>
      </w:r>
      <w:r>
        <w:rPr>
          <w:rFonts w:hint="eastAsia" w:ascii="仿宋_GB2312" w:hAnsi="仿宋_GB2312" w:eastAsia="仿宋_GB2312" w:cs="仿宋_GB2312"/>
          <w:bCs/>
          <w:color w:val="000000" w:themeColor="text1"/>
          <w14:textFill>
            <w14:solidFill>
              <w14:schemeClr w14:val="tx1"/>
            </w14:solidFill>
          </w14:textFill>
        </w:rPr>
        <w:t>及养老机构的信息互联互通机制，</w:t>
      </w:r>
      <w:r>
        <w:rPr>
          <w:rFonts w:hint="eastAsia" w:ascii="仿宋_GB2312" w:hAnsi="仿宋_GB2312" w:eastAsia="仿宋_GB2312" w:cs="仿宋_GB2312"/>
          <w:color w:val="000000" w:themeColor="text1"/>
          <w:lang w:eastAsia="zh-Hans"/>
          <w14:textFill>
            <w14:solidFill>
              <w14:schemeClr w14:val="tx1"/>
            </w14:solidFill>
          </w14:textFill>
        </w:rPr>
        <w:t>加强</w:t>
      </w:r>
      <w:r>
        <w:rPr>
          <w:rFonts w:hint="eastAsia" w:ascii="仿宋_GB2312" w:hAnsi="仿宋_GB2312" w:eastAsia="仿宋_GB2312" w:cs="仿宋_GB2312"/>
          <w:color w:val="000000" w:themeColor="text1"/>
          <w:szCs w:val="32"/>
          <w14:textFill>
            <w14:solidFill>
              <w14:schemeClr w14:val="tx1"/>
            </w14:solidFill>
          </w14:textFill>
        </w:rPr>
        <w:t>信息化监管水平</w:t>
      </w:r>
      <w:r>
        <w:rPr>
          <w:rFonts w:hint="eastAsia" w:ascii="仿宋_GB2312" w:hAnsi="仿宋_GB2312" w:eastAsia="仿宋_GB2312" w:cs="仿宋_GB2312"/>
          <w:color w:val="000000" w:themeColor="text1"/>
          <w:lang w:eastAsia="zh-Hans"/>
          <w14:textFill>
            <w14:solidFill>
              <w14:schemeClr w14:val="tx1"/>
            </w14:solidFill>
          </w14:textFill>
        </w:rPr>
        <w:t>，</w:t>
      </w:r>
      <w:r>
        <w:rPr>
          <w:rFonts w:hint="eastAsia" w:ascii="仿宋_GB2312" w:hAnsi="仿宋_GB2312" w:eastAsia="仿宋_GB2312" w:cs="仿宋_GB2312"/>
          <w:color w:val="000000" w:themeColor="text1"/>
          <w:szCs w:val="32"/>
          <w:lang w:eastAsia="zh-Hans"/>
          <w14:textFill>
            <w14:solidFill>
              <w14:schemeClr w14:val="tx1"/>
            </w14:solidFill>
          </w14:textFill>
        </w:rPr>
        <w:t>支撑项目实现全流程动态管理，</w:t>
      </w:r>
      <w:r>
        <w:rPr>
          <w:rFonts w:hint="eastAsia" w:ascii="仿宋_GB2312" w:hAnsi="仿宋_GB2312" w:eastAsia="仿宋_GB2312" w:cs="仿宋_GB2312"/>
          <w:bCs/>
          <w:color w:val="000000" w:themeColor="text1"/>
          <w:lang w:eastAsia="zh-Hans"/>
          <w14:textFill>
            <w14:solidFill>
              <w14:schemeClr w14:val="tx1"/>
            </w14:solidFill>
          </w14:textFill>
        </w:rPr>
        <w:t>保障</w:t>
      </w:r>
      <w:r>
        <w:rPr>
          <w:rFonts w:hint="eastAsia" w:ascii="仿宋_GB2312" w:hAnsi="仿宋_GB2312" w:eastAsia="仿宋_GB2312" w:cs="仿宋_GB2312"/>
          <w:color w:val="000000" w:themeColor="text1"/>
          <w:lang w:eastAsia="zh-Hans"/>
          <w14:textFill>
            <w14:solidFill>
              <w14:schemeClr w14:val="tx1"/>
            </w14:solidFill>
          </w14:textFill>
        </w:rPr>
        <w:t>市社会福</w:t>
      </w:r>
      <w:r>
        <w:rPr>
          <w:rFonts w:hint="eastAsia" w:ascii="仿宋_GB2312" w:hAnsi="仿宋_GB2312" w:eastAsia="仿宋_GB2312" w:cs="仿宋_GB2312"/>
          <w:lang w:eastAsia="zh-Hans"/>
        </w:rPr>
        <w:t>利综合管理平台数据真实、准确，</w:t>
      </w:r>
      <w:r>
        <w:rPr>
          <w:rFonts w:hint="eastAsia" w:ascii="仿宋_GB2312" w:hAnsi="仿宋_GB2312" w:eastAsia="仿宋_GB2312" w:cs="仿宋_GB2312"/>
        </w:rPr>
        <w:t>确保资金发放精准度</w:t>
      </w:r>
      <w:r>
        <w:rPr>
          <w:rFonts w:hint="eastAsia" w:ascii="仿宋_GB2312" w:hAnsi="仿宋_GB2312" w:eastAsia="仿宋_GB2312" w:cs="仿宋_GB2312"/>
          <w:bCs/>
        </w:rPr>
        <w:t>。</w:t>
      </w:r>
    </w:p>
    <w:p>
      <w:pPr>
        <w:numPr>
          <w:ilvl w:val="0"/>
          <w:numId w:val="2"/>
        </w:numPr>
        <w:ind w:firstLine="640"/>
        <w:outlineLvl w:val="1"/>
        <w:rPr>
          <w:rFonts w:hint="eastAsia" w:ascii="楷体_GB2312" w:hAnsi="楷体_GB2312" w:eastAsia="楷体_GB2312" w:cs="楷体_GB2312"/>
          <w:bCs/>
          <w:lang w:eastAsia="zh-Hans"/>
        </w:rPr>
      </w:pPr>
      <w:bookmarkStart w:id="150" w:name="_Toc133222649"/>
      <w:bookmarkStart w:id="151" w:name="_Toc767577453"/>
      <w:bookmarkStart w:id="152" w:name="_Toc1249431831"/>
      <w:r>
        <w:rPr>
          <w:rFonts w:hint="eastAsia" w:ascii="楷体_GB2312" w:hAnsi="楷体_GB2312" w:eastAsia="楷体_GB2312" w:cs="楷体_GB2312"/>
          <w:bCs/>
          <w:lang w:eastAsia="zh-Hans"/>
        </w:rPr>
        <w:t>加快项目执行进度，规范使用资金</w:t>
      </w:r>
      <w:bookmarkEnd w:id="150"/>
      <w:bookmarkEnd w:id="151"/>
    </w:p>
    <w:p>
      <w:pPr>
        <w:ind w:firstLine="643"/>
        <w:rPr>
          <w:rFonts w:hint="eastAsia" w:ascii="仿宋_GB2312" w:hAnsi="仿宋_GB2312" w:eastAsia="仿宋_GB2312" w:cs="仿宋_GB2312"/>
          <w:b w:val="0"/>
          <w:bCs/>
          <w:lang w:eastAsia="zh-Hans"/>
        </w:rPr>
      </w:pPr>
      <w:r>
        <w:rPr>
          <w:rFonts w:hint="eastAsia" w:ascii="仿宋_GB2312" w:hAnsi="仿宋_GB2312" w:eastAsia="仿宋_GB2312" w:cs="仿宋_GB2312"/>
          <w:b/>
          <w:lang w:eastAsia="zh-Hans"/>
        </w:rPr>
        <w:t>一是</w:t>
      </w:r>
      <w:r>
        <w:rPr>
          <w:rFonts w:hint="eastAsia" w:ascii="仿宋_GB2312" w:hAnsi="仿宋_GB2312" w:eastAsia="仿宋_GB2312" w:cs="仿宋_GB2312"/>
          <w:bCs/>
          <w:lang w:eastAsia="zh-Hans"/>
        </w:rPr>
        <w:t>建议督促各区民政局严格落实养老机构运营补贴政策，提高市社会福利综合管理平台服务数据核查效率，加快补贴资金审批流程。同时做好区级资金筹备工作，确保补贴资金及时、足额发放。</w:t>
      </w:r>
      <w:r>
        <w:rPr>
          <w:rFonts w:hint="eastAsia" w:ascii="仿宋_GB2312" w:hAnsi="仿宋_GB2312" w:eastAsia="仿宋_GB2312" w:cs="仿宋_GB2312"/>
          <w:b/>
          <w:lang w:eastAsia="zh-Hans"/>
        </w:rPr>
        <w:t>二是</w:t>
      </w:r>
      <w:r>
        <w:rPr>
          <w:rFonts w:hint="eastAsia" w:ascii="仿宋_GB2312" w:hAnsi="仿宋_GB2312" w:eastAsia="仿宋_GB2312" w:cs="仿宋_GB2312"/>
          <w:b w:val="0"/>
          <w:bCs/>
          <w:lang w:val="en-US" w:eastAsia="zh-Hans"/>
        </w:rPr>
        <w:t>建议督促各区民政局加强对养老机构运营补贴使用的监督管理</w:t>
      </w:r>
      <w:r>
        <w:rPr>
          <w:rFonts w:hint="eastAsia" w:ascii="仿宋_GB2312" w:hAnsi="仿宋_GB2312" w:eastAsia="仿宋_GB2312" w:cs="仿宋_GB2312"/>
          <w:b w:val="0"/>
          <w:bCs/>
          <w:lang w:eastAsia="zh-Hans"/>
        </w:rPr>
        <w:t>，</w:t>
      </w:r>
      <w:r>
        <w:rPr>
          <w:rFonts w:hint="eastAsia" w:ascii="仿宋_GB2312" w:hAnsi="仿宋_GB2312" w:eastAsia="仿宋_GB2312" w:cs="仿宋_GB2312"/>
          <w:b w:val="0"/>
          <w:bCs/>
          <w:lang w:val="en-US" w:eastAsia="zh-Hans"/>
        </w:rPr>
        <w:t>确保养老机构按照正面清单制度规定管理及使用运营补贴资金</w:t>
      </w:r>
      <w:r>
        <w:rPr>
          <w:rFonts w:hint="eastAsia" w:ascii="仿宋_GB2312" w:hAnsi="仿宋_GB2312" w:eastAsia="仿宋_GB2312" w:cs="仿宋_GB2312"/>
          <w:b w:val="0"/>
          <w:bCs/>
          <w:lang w:eastAsia="zh-Hans"/>
        </w:rPr>
        <w:t>，</w:t>
      </w:r>
      <w:r>
        <w:rPr>
          <w:rFonts w:hint="eastAsia" w:ascii="仿宋_GB2312" w:hAnsi="仿宋_GB2312" w:eastAsia="仿宋_GB2312" w:cs="仿宋_GB2312"/>
          <w:bCs/>
          <w:szCs w:val="24"/>
          <w:lang w:eastAsia="zh-Hans"/>
        </w:rPr>
        <w:t>为运营补贴资金设立单独核算科目，完善财务会计制度和运营补贴资金使用管理制度，</w:t>
      </w:r>
      <w:r>
        <w:rPr>
          <w:rFonts w:hint="eastAsia" w:ascii="仿宋_GB2312" w:hAnsi="仿宋_GB2312" w:eastAsia="仿宋_GB2312" w:cs="仿宋_GB2312"/>
          <w:bCs/>
          <w:szCs w:val="24"/>
          <w:lang w:val="en-US" w:eastAsia="zh-Hans"/>
        </w:rPr>
        <w:t>加强养老机构资金使用规范性</w:t>
      </w:r>
      <w:r>
        <w:rPr>
          <w:rFonts w:hint="eastAsia" w:ascii="仿宋_GB2312" w:hAnsi="仿宋_GB2312" w:eastAsia="仿宋_GB2312" w:cs="仿宋_GB2312"/>
          <w:bCs/>
          <w:szCs w:val="24"/>
          <w:lang w:eastAsia="zh-Hans"/>
        </w:rPr>
        <w:t>。</w:t>
      </w:r>
    </w:p>
    <w:p>
      <w:pPr>
        <w:numPr>
          <w:ilvl w:val="0"/>
          <w:numId w:val="2"/>
        </w:numPr>
        <w:ind w:firstLine="640"/>
        <w:outlineLvl w:val="1"/>
        <w:rPr>
          <w:rFonts w:hint="eastAsia" w:ascii="楷体_GB2312" w:hAnsi="楷体_GB2312" w:eastAsia="楷体_GB2312" w:cs="楷体_GB2312"/>
          <w:bCs/>
        </w:rPr>
      </w:pPr>
      <w:bookmarkStart w:id="153" w:name="_Toc1395101569"/>
      <w:bookmarkStart w:id="154" w:name="_Toc739985042"/>
      <w:r>
        <w:rPr>
          <w:rFonts w:hint="eastAsia" w:ascii="楷体_GB2312" w:hAnsi="楷体_GB2312" w:eastAsia="楷体_GB2312" w:cs="楷体_GB2312"/>
          <w:bCs/>
        </w:rPr>
        <w:t>加强成本控制，</w:t>
      </w:r>
      <w:r>
        <w:rPr>
          <w:rFonts w:hint="eastAsia" w:ascii="楷体_GB2312" w:hAnsi="楷体_GB2312" w:eastAsia="楷体_GB2312" w:cs="楷体_GB2312"/>
          <w:bCs/>
          <w:lang w:val="en-US" w:eastAsia="zh-Hans"/>
        </w:rPr>
        <w:t>加强</w:t>
      </w:r>
      <w:r>
        <w:rPr>
          <w:rFonts w:hint="eastAsia" w:ascii="楷体_GB2312" w:hAnsi="楷体_GB2312" w:eastAsia="楷体_GB2312" w:cs="楷体_GB2312"/>
          <w:bCs/>
        </w:rPr>
        <w:t>绩效意识</w:t>
      </w:r>
      <w:bookmarkEnd w:id="152"/>
      <w:bookmarkEnd w:id="153"/>
      <w:bookmarkEnd w:id="154"/>
    </w:p>
    <w:bookmarkEnd w:id="149"/>
    <w:p>
      <w:pPr>
        <w:ind w:firstLine="643"/>
        <w:rPr>
          <w:rFonts w:hint="eastAsia" w:ascii="仿宋_GB2312" w:hAnsi="仿宋_GB2312" w:eastAsia="仿宋_GB2312" w:cs="仿宋_GB2312"/>
        </w:rPr>
      </w:pPr>
      <w:r>
        <w:rPr>
          <w:rFonts w:hint="eastAsia" w:ascii="仿宋_GB2312" w:hAnsi="仿宋_GB2312" w:eastAsia="仿宋_GB2312" w:cs="仿宋_GB2312"/>
          <w:b/>
        </w:rPr>
        <w:t>一是</w:t>
      </w:r>
      <w:r>
        <w:rPr>
          <w:rFonts w:hint="eastAsia" w:ascii="仿宋_GB2312" w:hAnsi="仿宋_GB2312" w:eastAsia="仿宋_GB2312" w:cs="仿宋_GB2312"/>
          <w:bCs/>
          <w:lang w:eastAsia="zh-Hans"/>
        </w:rPr>
        <w:t>建议考虑调整养老机构运营补贴发放流程和审核机制，不断提高项目信息化管理</w:t>
      </w:r>
      <w:r>
        <w:rPr>
          <w:rFonts w:hint="eastAsia" w:ascii="仿宋_GB2312" w:hAnsi="仿宋_GB2312" w:eastAsia="仿宋_GB2312" w:cs="仿宋_GB2312"/>
          <w:bCs/>
        </w:rPr>
        <w:t>水平</w:t>
      </w:r>
      <w:r>
        <w:rPr>
          <w:rFonts w:hint="eastAsia" w:ascii="仿宋_GB2312" w:hAnsi="仿宋_GB2312" w:eastAsia="仿宋_GB2312" w:cs="仿宋_GB2312"/>
          <w:bCs/>
          <w:lang w:eastAsia="zh-Hans"/>
        </w:rPr>
        <w:t>，减少</w:t>
      </w:r>
      <w:r>
        <w:rPr>
          <w:rFonts w:hint="eastAsia" w:ascii="仿宋_GB2312" w:hAnsi="仿宋_GB2312" w:eastAsia="仿宋_GB2312" w:cs="仿宋_GB2312"/>
          <w:bCs/>
        </w:rPr>
        <w:t>线下审核等项目管理</w:t>
      </w:r>
      <w:r>
        <w:rPr>
          <w:rFonts w:hint="eastAsia" w:ascii="仿宋_GB2312" w:hAnsi="仿宋_GB2312" w:eastAsia="仿宋_GB2312" w:cs="仿宋_GB2312"/>
          <w:bCs/>
          <w:lang w:eastAsia="zh-Hans"/>
        </w:rPr>
        <w:t>成本</w:t>
      </w:r>
      <w:r>
        <w:rPr>
          <w:rFonts w:hint="eastAsia" w:ascii="仿宋_GB2312" w:hAnsi="仿宋_GB2312" w:eastAsia="仿宋_GB2312" w:cs="仿宋_GB2312"/>
          <w:bCs/>
          <w:szCs w:val="32"/>
          <w:lang w:eastAsia="zh-Hans"/>
        </w:rPr>
        <w:t>。</w:t>
      </w:r>
      <w:r>
        <w:rPr>
          <w:rFonts w:hint="eastAsia" w:ascii="仿宋_GB2312" w:hAnsi="仿宋_GB2312" w:eastAsia="仿宋_GB2312" w:cs="仿宋_GB2312"/>
          <w:b/>
          <w:lang w:eastAsia="zh-Hans"/>
        </w:rPr>
        <w:t>二是</w:t>
      </w:r>
      <w:r>
        <w:rPr>
          <w:rFonts w:hint="eastAsia" w:ascii="仿宋_GB2312" w:hAnsi="仿宋_GB2312" w:eastAsia="仿宋_GB2312" w:cs="仿宋_GB2312"/>
        </w:rPr>
        <w:t>建议</w:t>
      </w:r>
      <w:r>
        <w:rPr>
          <w:rFonts w:hint="eastAsia" w:ascii="仿宋_GB2312" w:hAnsi="仿宋_GB2312" w:eastAsia="仿宋_GB2312" w:cs="仿宋_GB2312"/>
          <w:lang w:eastAsia="zh-Hans"/>
        </w:rPr>
        <w:t>持续</w:t>
      </w:r>
      <w:r>
        <w:rPr>
          <w:rFonts w:hint="eastAsia" w:ascii="仿宋_GB2312" w:hAnsi="仿宋_GB2312" w:eastAsia="仿宋_GB2312" w:cs="仿宋_GB2312"/>
        </w:rPr>
        <w:t>提升预算绩效管理水平，深入分析业务特点和工作重点，依据相关规划、计划，聚焦年度重点任务，设置与年度任务、总体目标及预算规模相契合的、充分细化量化的绩效指标，提升指标约束力，充分发挥目标导向作用。</w:t>
      </w:r>
    </w:p>
    <w:p>
      <w:pPr>
        <w:numPr>
          <w:ilvl w:val="0"/>
          <w:numId w:val="2"/>
        </w:numPr>
        <w:ind w:firstLine="640"/>
        <w:outlineLvl w:val="1"/>
        <w:rPr>
          <w:rFonts w:hint="eastAsia" w:ascii="楷体_GB2312" w:hAnsi="楷体_GB2312" w:eastAsia="楷体_GB2312" w:cs="楷体_GB2312"/>
          <w:bCs/>
          <w:lang w:eastAsia="zh-Hans"/>
        </w:rPr>
      </w:pPr>
      <w:bookmarkStart w:id="155" w:name="_Toc850801117"/>
      <w:bookmarkStart w:id="156" w:name="_Toc1334276303"/>
      <w:bookmarkStart w:id="162" w:name="_GoBack"/>
      <w:r>
        <w:rPr>
          <w:rFonts w:hint="eastAsia" w:ascii="楷体_GB2312" w:hAnsi="楷体_GB2312" w:eastAsia="楷体_GB2312" w:cs="楷体_GB2312"/>
          <w:bCs/>
          <w:lang w:eastAsia="zh-Hans"/>
        </w:rPr>
        <w:t>转变财政资金扶持方式，发挥政府兜底保障作用</w:t>
      </w:r>
      <w:bookmarkEnd w:id="155"/>
      <w:bookmarkEnd w:id="156"/>
    </w:p>
    <w:bookmarkEnd w:id="162"/>
    <w:p>
      <w:pPr>
        <w:ind w:firstLine="640"/>
        <w:rPr>
          <w:rFonts w:hint="eastAsia" w:ascii="仿宋_GB2312" w:hAnsi="仿宋_GB2312" w:eastAsia="仿宋_GB2312" w:cs="仿宋_GB2312"/>
          <w:lang w:eastAsia="zh-Hans"/>
        </w:rPr>
      </w:pPr>
      <w:r>
        <w:rPr>
          <w:rFonts w:hint="eastAsia" w:ascii="仿宋_GB2312" w:hAnsi="仿宋_GB2312" w:eastAsia="仿宋_GB2312" w:cs="仿宋_GB2312"/>
          <w:lang w:eastAsia="zh-Hans"/>
        </w:rPr>
        <w:t>建议转变财政资金</w:t>
      </w:r>
      <w:r>
        <w:rPr>
          <w:rFonts w:hint="eastAsia" w:ascii="仿宋_GB2312" w:hAnsi="仿宋_GB2312" w:eastAsia="仿宋_GB2312" w:cs="仿宋_GB2312"/>
        </w:rPr>
        <w:t>投入方式</w:t>
      </w:r>
      <w:r>
        <w:rPr>
          <w:rFonts w:hint="eastAsia" w:ascii="仿宋_GB2312" w:hAnsi="仿宋_GB2312" w:eastAsia="仿宋_GB2312" w:cs="仿宋_GB2312"/>
          <w:lang w:eastAsia="zh-Hans"/>
        </w:rPr>
        <w:t>，</w:t>
      </w:r>
      <w:r>
        <w:rPr>
          <w:rFonts w:hint="eastAsia" w:ascii="仿宋_GB2312" w:hAnsi="仿宋_GB2312" w:eastAsia="仿宋_GB2312" w:cs="仿宋_GB2312"/>
          <w:lang w:val="en-US" w:eastAsia="zh-Hans"/>
        </w:rPr>
        <w:t>逐步</w:t>
      </w:r>
      <w:r>
        <w:rPr>
          <w:rFonts w:hint="eastAsia" w:ascii="仿宋_GB2312" w:hAnsi="仿宋_GB2312" w:eastAsia="仿宋_GB2312" w:cs="仿宋_GB2312"/>
          <w:lang w:eastAsia="zh-Hans"/>
        </w:rPr>
        <w:t>实现养老机构从“围着政府转”向“围着老人转”转变。对低收入家庭、困难家庭、残疾人家庭、失能老人家庭等进行重点扶持，引导养老机构向重点人群提供公益性、基础性服务，充分发挥政府的兜底保障作用。</w:t>
      </w:r>
    </w:p>
    <w:p>
      <w:pPr>
        <w:pStyle w:val="2"/>
        <w:keepNext w:val="0"/>
        <w:keepLines w:val="0"/>
        <w:spacing w:line="560" w:lineRule="exact"/>
        <w:ind w:firstLine="640"/>
        <w:rPr>
          <w:rFonts w:hint="eastAsia" w:ascii="黑体" w:hAnsi="黑体" w:eastAsia="黑体" w:cs="黑体"/>
          <w:b w:val="0"/>
          <w:bCs w:val="0"/>
          <w:szCs w:val="32"/>
        </w:rPr>
      </w:pPr>
      <w:bookmarkStart w:id="157" w:name="_Toc1105683251"/>
      <w:bookmarkStart w:id="158" w:name="_Toc1157582547"/>
      <w:bookmarkStart w:id="159" w:name="_Toc1468251693"/>
      <w:bookmarkStart w:id="160" w:name="_Toc103094586"/>
      <w:bookmarkStart w:id="161" w:name="_Toc103096331"/>
      <w:r>
        <w:rPr>
          <w:rFonts w:hint="eastAsia" w:ascii="黑体" w:hAnsi="黑体" w:eastAsia="黑体" w:cs="黑体"/>
          <w:b w:val="0"/>
          <w:bCs w:val="0"/>
          <w:szCs w:val="32"/>
        </w:rPr>
        <w:t>七、其他需要说明的问题</w:t>
      </w:r>
      <w:bookmarkEnd w:id="157"/>
      <w:bookmarkEnd w:id="158"/>
      <w:bookmarkEnd w:id="159"/>
      <w:bookmarkEnd w:id="160"/>
      <w:bookmarkEnd w:id="161"/>
    </w:p>
    <w:p>
      <w:pPr>
        <w:ind w:firstLine="640"/>
        <w:rPr>
          <w:rFonts w:hint="eastAsia" w:ascii="仿宋_GB2312" w:hAnsi="仿宋_GB2312" w:eastAsia="仿宋_GB2312" w:cs="仿宋_GB2312"/>
          <w:snapToGrid w:val="0"/>
          <w:lang w:eastAsia="zh-Hans"/>
        </w:rPr>
      </w:pPr>
      <w:r>
        <w:rPr>
          <w:rFonts w:hint="eastAsia" w:ascii="仿宋_GB2312" w:hAnsi="仿宋_GB2312" w:eastAsia="仿宋_GB2312" w:cs="仿宋_GB2312"/>
        </w:rPr>
        <w:t>本次评价对项目决策、过程、产出、效益进行评价，评价工作组以市</w:t>
      </w:r>
      <w:r>
        <w:rPr>
          <w:rFonts w:hint="eastAsia" w:ascii="仿宋_GB2312" w:hAnsi="仿宋_GB2312" w:eastAsia="仿宋_GB2312" w:cs="仿宋_GB2312"/>
          <w:lang w:eastAsia="zh-Hans"/>
        </w:rPr>
        <w:t>民政局</w:t>
      </w:r>
      <w:r>
        <w:rPr>
          <w:rFonts w:hint="eastAsia" w:ascii="仿宋_GB2312" w:hAnsi="仿宋_GB2312" w:eastAsia="仿宋_GB2312" w:cs="仿宋_GB2312"/>
        </w:rPr>
        <w:t>提供的评价材料为基础，通过资料审核、电话沟通、</w:t>
      </w:r>
      <w:r>
        <w:rPr>
          <w:rFonts w:hint="eastAsia" w:ascii="仿宋_GB2312" w:hAnsi="仿宋_GB2312" w:eastAsia="仿宋_GB2312" w:cs="仿宋_GB2312"/>
          <w:lang w:eastAsia="zh-Hans"/>
        </w:rPr>
        <w:t>现场及线上调研</w:t>
      </w:r>
      <w:r>
        <w:rPr>
          <w:rFonts w:hint="eastAsia" w:ascii="仿宋_GB2312" w:hAnsi="仿宋_GB2312" w:eastAsia="仿宋_GB2312" w:cs="仿宋_GB2312"/>
        </w:rPr>
        <w:t>等方式核实评价材料完整性、真实性，邀请专家组成评价专家组，对项目材料进行综合分析和专业评价，在此基础上形成专家意见汇总书，完成</w:t>
      </w:r>
      <w:r>
        <w:rPr>
          <w:rFonts w:hint="eastAsia" w:ascii="仿宋_GB2312" w:hAnsi="仿宋_GB2312" w:eastAsia="仿宋_GB2312" w:cs="仿宋_GB2312"/>
          <w:lang w:eastAsia="zh-Hans"/>
        </w:rPr>
        <w:t>“社会办养老机构床位运营补贴”</w:t>
      </w:r>
      <w:r>
        <w:rPr>
          <w:rFonts w:hint="eastAsia" w:ascii="仿宋_GB2312" w:hAnsi="仿宋_GB2312" w:eastAsia="仿宋_GB2312" w:cs="仿宋_GB2312"/>
        </w:rPr>
        <w:t>项目绩效评价报告。</w:t>
      </w:r>
    </w:p>
    <w:sectPr>
      <w:footerReference r:id="rId8" w:type="default"/>
      <w:pgSz w:w="11906" w:h="16838"/>
      <w:pgMar w:top="2098" w:right="1474" w:bottom="1985" w:left="1587" w:header="851" w:footer="992" w:gutter="0"/>
      <w:pgNumType w:fmt="decimal" w:start="1"/>
      <w:cols w:space="0" w:num="1"/>
      <w:docGrid w:type="linesAndChars" w:linePitch="44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00" w:usb3="00000000" w:csb0="00160000" w:csb1="00000000"/>
  </w:font>
  <w:font w:name="楷体">
    <w:altName w:val="方正楷体_GBK"/>
    <w:panose1 w:val="02010609060101010101"/>
    <w:charset w:val="86"/>
    <w:family w:val="modern"/>
    <w:pitch w:val="default"/>
    <w:sig w:usb0="00000000" w:usb1="00000000" w:usb2="00000000" w:usb3="00000000" w:csb0="00160000" w:csb1="00000000"/>
  </w:font>
  <w:font w:name="Calibri Light">
    <w:altName w:val="DejaVu Sans"/>
    <w:panose1 w:val="020F0302020204030204"/>
    <w:charset w:val="00"/>
    <w:family w:val="swiss"/>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华文仿宋">
    <w:altName w:val="汉仪仿宋简"/>
    <w:panose1 w:val="02010600040101010101"/>
    <w:charset w:val="86"/>
    <w:family w:val="auto"/>
    <w:pitch w:val="default"/>
    <w:sig w:usb0="00000000" w:usb1="00000000" w:usb2="00000000" w:usb3="00000000" w:csb0="00160000" w:csb1="00000000"/>
  </w:font>
  <w:font w:name="方正小标宋简体">
    <w:panose1 w:val="02000000000000000000"/>
    <w:charset w:val="86"/>
    <w:family w:val="script"/>
    <w:pitch w:val="default"/>
    <w:sig w:usb0="A00002BF" w:usb1="184F6CFA" w:usb2="00000012" w:usb3="00000000" w:csb0="00040001" w:csb1="00000000"/>
  </w:font>
  <w:font w:name="Times New Roman Regular">
    <w:altName w:val="DejaVu Sans"/>
    <w:panose1 w:val="02020603050405020304"/>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汉仪仿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center"/>
      <w:rPr>
        <w:sz w:val="28"/>
        <w:szCs w:val="44"/>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12"/>
                      <w:ind w:firstLine="360"/>
                    </w:pPr>
                    <w:r>
                      <w:fldChar w:fldCharType="begin"/>
                    </w:r>
                    <w:r>
                      <w:instrText xml:space="preserve"> PAGE  \* MERGEFORMAT </w:instrText>
                    </w:r>
                    <w:r>
                      <w:fldChar w:fldCharType="separate"/>
                    </w:r>
                    <w:r>
                      <w:t>10</w:t>
                    </w:r>
                    <w:r>
                      <w:fldChar w:fldCharType="end"/>
                    </w:r>
                  </w:p>
                </w:txbxContent>
              </v:textbox>
            </v:shape>
          </w:pict>
        </mc:Fallback>
      </mc:AlternateContent>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F38C6"/>
    <w:multiLevelType w:val="singleLevel"/>
    <w:tmpl w:val="F69F38C6"/>
    <w:lvl w:ilvl="0" w:tentative="0">
      <w:start w:val="3"/>
      <w:numFmt w:val="decimal"/>
      <w:lvlText w:val="%1."/>
      <w:lvlJc w:val="left"/>
      <w:pPr>
        <w:tabs>
          <w:tab w:val="left" w:pos="312"/>
        </w:tabs>
      </w:pPr>
    </w:lvl>
  </w:abstractNum>
  <w:abstractNum w:abstractNumId="1">
    <w:nsid w:val="FFFEA459"/>
    <w:multiLevelType w:val="singleLevel"/>
    <w:tmpl w:val="FFFEA45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hideSpellingErrors/>
  <w:hideGrammaticalErrors/>
  <w:documentProtection w:enforcement="0"/>
  <w:defaultTabStop w:val="0"/>
  <w:drawingGridHorizontalSpacing w:val="160"/>
  <w:drawingGridVerticalSpacing w:val="221"/>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wOTU1YjJhM2M1NzFiZjQ4OTg3MmI2MjlhOTA5ZWQifQ=="/>
  </w:docVars>
  <w:rsids>
    <w:rsidRoot w:val="001E43F1"/>
    <w:rsid w:val="00000383"/>
    <w:rsid w:val="0000045D"/>
    <w:rsid w:val="00001157"/>
    <w:rsid w:val="000012B4"/>
    <w:rsid w:val="0000261B"/>
    <w:rsid w:val="00002E80"/>
    <w:rsid w:val="00003A73"/>
    <w:rsid w:val="00003BD8"/>
    <w:rsid w:val="0000413E"/>
    <w:rsid w:val="00004D7C"/>
    <w:rsid w:val="000055D1"/>
    <w:rsid w:val="00006E34"/>
    <w:rsid w:val="0000749F"/>
    <w:rsid w:val="000103DE"/>
    <w:rsid w:val="00013539"/>
    <w:rsid w:val="000138A0"/>
    <w:rsid w:val="00013FD4"/>
    <w:rsid w:val="00017051"/>
    <w:rsid w:val="000174BD"/>
    <w:rsid w:val="00020166"/>
    <w:rsid w:val="0002078D"/>
    <w:rsid w:val="00021326"/>
    <w:rsid w:val="000222D6"/>
    <w:rsid w:val="00023944"/>
    <w:rsid w:val="00026934"/>
    <w:rsid w:val="00026942"/>
    <w:rsid w:val="000304E4"/>
    <w:rsid w:val="0003074C"/>
    <w:rsid w:val="0003101E"/>
    <w:rsid w:val="00031B4A"/>
    <w:rsid w:val="00031D1E"/>
    <w:rsid w:val="0003242F"/>
    <w:rsid w:val="000327BF"/>
    <w:rsid w:val="00032CEF"/>
    <w:rsid w:val="00033BAD"/>
    <w:rsid w:val="00033D31"/>
    <w:rsid w:val="00034A66"/>
    <w:rsid w:val="00034F18"/>
    <w:rsid w:val="00035081"/>
    <w:rsid w:val="00036A1B"/>
    <w:rsid w:val="00037966"/>
    <w:rsid w:val="0004005E"/>
    <w:rsid w:val="0004241D"/>
    <w:rsid w:val="00043CB0"/>
    <w:rsid w:val="00044676"/>
    <w:rsid w:val="00045DE6"/>
    <w:rsid w:val="00046AE6"/>
    <w:rsid w:val="000471F7"/>
    <w:rsid w:val="000500BD"/>
    <w:rsid w:val="00051A79"/>
    <w:rsid w:val="00051C27"/>
    <w:rsid w:val="00051DAC"/>
    <w:rsid w:val="00052697"/>
    <w:rsid w:val="0005351E"/>
    <w:rsid w:val="0005401B"/>
    <w:rsid w:val="00055F3D"/>
    <w:rsid w:val="0005623A"/>
    <w:rsid w:val="00057955"/>
    <w:rsid w:val="00060014"/>
    <w:rsid w:val="0006112F"/>
    <w:rsid w:val="00062969"/>
    <w:rsid w:val="00063073"/>
    <w:rsid w:val="00063113"/>
    <w:rsid w:val="0006347C"/>
    <w:rsid w:val="000643FB"/>
    <w:rsid w:val="0006473A"/>
    <w:rsid w:val="00065F5D"/>
    <w:rsid w:val="000702DE"/>
    <w:rsid w:val="000720A7"/>
    <w:rsid w:val="00072914"/>
    <w:rsid w:val="00072972"/>
    <w:rsid w:val="00075AFF"/>
    <w:rsid w:val="000763E4"/>
    <w:rsid w:val="000769B1"/>
    <w:rsid w:val="0007702E"/>
    <w:rsid w:val="00077522"/>
    <w:rsid w:val="00080CD5"/>
    <w:rsid w:val="000819BF"/>
    <w:rsid w:val="0008223C"/>
    <w:rsid w:val="00082264"/>
    <w:rsid w:val="000828F0"/>
    <w:rsid w:val="000832D3"/>
    <w:rsid w:val="00083B56"/>
    <w:rsid w:val="00083B87"/>
    <w:rsid w:val="00084011"/>
    <w:rsid w:val="00084403"/>
    <w:rsid w:val="00085227"/>
    <w:rsid w:val="000859A5"/>
    <w:rsid w:val="000869E4"/>
    <w:rsid w:val="000874B7"/>
    <w:rsid w:val="00092441"/>
    <w:rsid w:val="000932D9"/>
    <w:rsid w:val="000933DD"/>
    <w:rsid w:val="000934A7"/>
    <w:rsid w:val="000938B0"/>
    <w:rsid w:val="00095336"/>
    <w:rsid w:val="000955A1"/>
    <w:rsid w:val="00096F32"/>
    <w:rsid w:val="0009731C"/>
    <w:rsid w:val="00097CC5"/>
    <w:rsid w:val="000A0C37"/>
    <w:rsid w:val="000A1629"/>
    <w:rsid w:val="000A1A62"/>
    <w:rsid w:val="000A28CF"/>
    <w:rsid w:val="000A29D5"/>
    <w:rsid w:val="000A4868"/>
    <w:rsid w:val="000A5E2D"/>
    <w:rsid w:val="000A67AE"/>
    <w:rsid w:val="000B031C"/>
    <w:rsid w:val="000B102A"/>
    <w:rsid w:val="000B12D3"/>
    <w:rsid w:val="000B1D3A"/>
    <w:rsid w:val="000B3C00"/>
    <w:rsid w:val="000B66BB"/>
    <w:rsid w:val="000B6734"/>
    <w:rsid w:val="000B6F90"/>
    <w:rsid w:val="000C137A"/>
    <w:rsid w:val="000C1997"/>
    <w:rsid w:val="000C1D2A"/>
    <w:rsid w:val="000C21C0"/>
    <w:rsid w:val="000C2F7D"/>
    <w:rsid w:val="000C558E"/>
    <w:rsid w:val="000C5B33"/>
    <w:rsid w:val="000C5CF9"/>
    <w:rsid w:val="000C639D"/>
    <w:rsid w:val="000C6B83"/>
    <w:rsid w:val="000C7BAE"/>
    <w:rsid w:val="000D0A98"/>
    <w:rsid w:val="000D0CAA"/>
    <w:rsid w:val="000D1334"/>
    <w:rsid w:val="000D1F1C"/>
    <w:rsid w:val="000D29D4"/>
    <w:rsid w:val="000D343B"/>
    <w:rsid w:val="000D3AC6"/>
    <w:rsid w:val="000D3F28"/>
    <w:rsid w:val="000D42D6"/>
    <w:rsid w:val="000D52C9"/>
    <w:rsid w:val="000D5F28"/>
    <w:rsid w:val="000D6760"/>
    <w:rsid w:val="000D6CD2"/>
    <w:rsid w:val="000D7B75"/>
    <w:rsid w:val="000E0848"/>
    <w:rsid w:val="000E0DA6"/>
    <w:rsid w:val="000E166E"/>
    <w:rsid w:val="000E299D"/>
    <w:rsid w:val="000E31F0"/>
    <w:rsid w:val="000E3670"/>
    <w:rsid w:val="000E3672"/>
    <w:rsid w:val="000E3853"/>
    <w:rsid w:val="000E4182"/>
    <w:rsid w:val="000E5832"/>
    <w:rsid w:val="000F21C9"/>
    <w:rsid w:val="000F2999"/>
    <w:rsid w:val="000F2B7A"/>
    <w:rsid w:val="000F3368"/>
    <w:rsid w:val="000F4412"/>
    <w:rsid w:val="000F527C"/>
    <w:rsid w:val="000F7365"/>
    <w:rsid w:val="0010055A"/>
    <w:rsid w:val="001009B5"/>
    <w:rsid w:val="00101300"/>
    <w:rsid w:val="00102645"/>
    <w:rsid w:val="00104158"/>
    <w:rsid w:val="001056A2"/>
    <w:rsid w:val="00105F28"/>
    <w:rsid w:val="00106360"/>
    <w:rsid w:val="0010665C"/>
    <w:rsid w:val="001066C0"/>
    <w:rsid w:val="001066C9"/>
    <w:rsid w:val="00106872"/>
    <w:rsid w:val="00110B29"/>
    <w:rsid w:val="00111629"/>
    <w:rsid w:val="001122EF"/>
    <w:rsid w:val="0011301A"/>
    <w:rsid w:val="00113428"/>
    <w:rsid w:val="00113587"/>
    <w:rsid w:val="00113BFF"/>
    <w:rsid w:val="0011451B"/>
    <w:rsid w:val="00114673"/>
    <w:rsid w:val="00116517"/>
    <w:rsid w:val="00116834"/>
    <w:rsid w:val="001176BA"/>
    <w:rsid w:val="00122AE3"/>
    <w:rsid w:val="0012543B"/>
    <w:rsid w:val="00125D31"/>
    <w:rsid w:val="00125D54"/>
    <w:rsid w:val="00125E1D"/>
    <w:rsid w:val="001268EA"/>
    <w:rsid w:val="0012694A"/>
    <w:rsid w:val="00127737"/>
    <w:rsid w:val="00127941"/>
    <w:rsid w:val="001303A6"/>
    <w:rsid w:val="0013099A"/>
    <w:rsid w:val="00131E69"/>
    <w:rsid w:val="0013216E"/>
    <w:rsid w:val="001329D1"/>
    <w:rsid w:val="00132A5D"/>
    <w:rsid w:val="00136571"/>
    <w:rsid w:val="001369EE"/>
    <w:rsid w:val="0013711B"/>
    <w:rsid w:val="00140147"/>
    <w:rsid w:val="00141270"/>
    <w:rsid w:val="00141460"/>
    <w:rsid w:val="0014284A"/>
    <w:rsid w:val="00142DB5"/>
    <w:rsid w:val="00144AD2"/>
    <w:rsid w:val="00145022"/>
    <w:rsid w:val="0014523D"/>
    <w:rsid w:val="0014594A"/>
    <w:rsid w:val="00145C23"/>
    <w:rsid w:val="00147110"/>
    <w:rsid w:val="0014794A"/>
    <w:rsid w:val="0015022D"/>
    <w:rsid w:val="00150A23"/>
    <w:rsid w:val="00150DC5"/>
    <w:rsid w:val="00151462"/>
    <w:rsid w:val="00153AF8"/>
    <w:rsid w:val="001541AA"/>
    <w:rsid w:val="00155F83"/>
    <w:rsid w:val="001602CF"/>
    <w:rsid w:val="00160D5D"/>
    <w:rsid w:val="00161E15"/>
    <w:rsid w:val="00162CE5"/>
    <w:rsid w:val="00163513"/>
    <w:rsid w:val="0016486A"/>
    <w:rsid w:val="001648C3"/>
    <w:rsid w:val="0016639C"/>
    <w:rsid w:val="00167BC1"/>
    <w:rsid w:val="00172951"/>
    <w:rsid w:val="00174135"/>
    <w:rsid w:val="0017438E"/>
    <w:rsid w:val="00174A0C"/>
    <w:rsid w:val="001750EE"/>
    <w:rsid w:val="001755E6"/>
    <w:rsid w:val="00176881"/>
    <w:rsid w:val="0017732C"/>
    <w:rsid w:val="001773B4"/>
    <w:rsid w:val="00180BB4"/>
    <w:rsid w:val="001817DA"/>
    <w:rsid w:val="00181E8E"/>
    <w:rsid w:val="00182D8A"/>
    <w:rsid w:val="0018353D"/>
    <w:rsid w:val="00183B97"/>
    <w:rsid w:val="001841AC"/>
    <w:rsid w:val="00185753"/>
    <w:rsid w:val="00185DCA"/>
    <w:rsid w:val="00186425"/>
    <w:rsid w:val="00186426"/>
    <w:rsid w:val="001866A9"/>
    <w:rsid w:val="00186D02"/>
    <w:rsid w:val="0018700C"/>
    <w:rsid w:val="00187767"/>
    <w:rsid w:val="00187C0F"/>
    <w:rsid w:val="00191E19"/>
    <w:rsid w:val="0019294F"/>
    <w:rsid w:val="00192EBA"/>
    <w:rsid w:val="00194C87"/>
    <w:rsid w:val="0019579E"/>
    <w:rsid w:val="001A0210"/>
    <w:rsid w:val="001A0F8F"/>
    <w:rsid w:val="001A20C0"/>
    <w:rsid w:val="001A37A6"/>
    <w:rsid w:val="001A3C22"/>
    <w:rsid w:val="001A4913"/>
    <w:rsid w:val="001A503A"/>
    <w:rsid w:val="001A6E00"/>
    <w:rsid w:val="001A7AD7"/>
    <w:rsid w:val="001B0228"/>
    <w:rsid w:val="001B07E5"/>
    <w:rsid w:val="001B0DBB"/>
    <w:rsid w:val="001B26E6"/>
    <w:rsid w:val="001B2AF9"/>
    <w:rsid w:val="001B2CB4"/>
    <w:rsid w:val="001B2FC8"/>
    <w:rsid w:val="001B4380"/>
    <w:rsid w:val="001B47A9"/>
    <w:rsid w:val="001B4CDE"/>
    <w:rsid w:val="001B54EA"/>
    <w:rsid w:val="001B7617"/>
    <w:rsid w:val="001C1649"/>
    <w:rsid w:val="001C1AE1"/>
    <w:rsid w:val="001C2053"/>
    <w:rsid w:val="001C3A13"/>
    <w:rsid w:val="001C3D9B"/>
    <w:rsid w:val="001C4050"/>
    <w:rsid w:val="001C44BB"/>
    <w:rsid w:val="001C4E1C"/>
    <w:rsid w:val="001C5272"/>
    <w:rsid w:val="001C52E8"/>
    <w:rsid w:val="001C5375"/>
    <w:rsid w:val="001D1500"/>
    <w:rsid w:val="001D2BCA"/>
    <w:rsid w:val="001D33B1"/>
    <w:rsid w:val="001D64B0"/>
    <w:rsid w:val="001D7F4B"/>
    <w:rsid w:val="001E0047"/>
    <w:rsid w:val="001E0C21"/>
    <w:rsid w:val="001E1DA0"/>
    <w:rsid w:val="001E32AD"/>
    <w:rsid w:val="001E3729"/>
    <w:rsid w:val="001E43F1"/>
    <w:rsid w:val="001E510A"/>
    <w:rsid w:val="001E5398"/>
    <w:rsid w:val="001E54C0"/>
    <w:rsid w:val="001F0C36"/>
    <w:rsid w:val="001F0C7F"/>
    <w:rsid w:val="001F1F19"/>
    <w:rsid w:val="001F1FC9"/>
    <w:rsid w:val="001F2376"/>
    <w:rsid w:val="001F3814"/>
    <w:rsid w:val="001F3CC8"/>
    <w:rsid w:val="001F4288"/>
    <w:rsid w:val="001F521F"/>
    <w:rsid w:val="001F6087"/>
    <w:rsid w:val="002000C0"/>
    <w:rsid w:val="00203B11"/>
    <w:rsid w:val="002045CB"/>
    <w:rsid w:val="00206147"/>
    <w:rsid w:val="00206A81"/>
    <w:rsid w:val="00206D2E"/>
    <w:rsid w:val="0020789A"/>
    <w:rsid w:val="00210421"/>
    <w:rsid w:val="0021202A"/>
    <w:rsid w:val="00212398"/>
    <w:rsid w:val="0021240B"/>
    <w:rsid w:val="002127FE"/>
    <w:rsid w:val="0021310B"/>
    <w:rsid w:val="00214027"/>
    <w:rsid w:val="00215C92"/>
    <w:rsid w:val="00215D0C"/>
    <w:rsid w:val="002168EC"/>
    <w:rsid w:val="00217396"/>
    <w:rsid w:val="0021772D"/>
    <w:rsid w:val="00217DEC"/>
    <w:rsid w:val="00220BE3"/>
    <w:rsid w:val="0022193E"/>
    <w:rsid w:val="00221BEA"/>
    <w:rsid w:val="00222728"/>
    <w:rsid w:val="00223E8A"/>
    <w:rsid w:val="0022565D"/>
    <w:rsid w:val="00226B58"/>
    <w:rsid w:val="00226F97"/>
    <w:rsid w:val="002270D3"/>
    <w:rsid w:val="00227867"/>
    <w:rsid w:val="00230EAD"/>
    <w:rsid w:val="00232B39"/>
    <w:rsid w:val="002330FC"/>
    <w:rsid w:val="00233EF4"/>
    <w:rsid w:val="00235AAC"/>
    <w:rsid w:val="00236523"/>
    <w:rsid w:val="0023671F"/>
    <w:rsid w:val="00236E0F"/>
    <w:rsid w:val="00240C3D"/>
    <w:rsid w:val="0024199A"/>
    <w:rsid w:val="00242087"/>
    <w:rsid w:val="00242F2B"/>
    <w:rsid w:val="002434CE"/>
    <w:rsid w:val="00243FB7"/>
    <w:rsid w:val="00244EE3"/>
    <w:rsid w:val="0024585B"/>
    <w:rsid w:val="002461DA"/>
    <w:rsid w:val="00250DC6"/>
    <w:rsid w:val="00251086"/>
    <w:rsid w:val="0025133C"/>
    <w:rsid w:val="0025176E"/>
    <w:rsid w:val="002523C1"/>
    <w:rsid w:val="002529AF"/>
    <w:rsid w:val="0025373C"/>
    <w:rsid w:val="00253A4B"/>
    <w:rsid w:val="00254306"/>
    <w:rsid w:val="002546BF"/>
    <w:rsid w:val="00260964"/>
    <w:rsid w:val="0026260E"/>
    <w:rsid w:val="0026339A"/>
    <w:rsid w:val="00264238"/>
    <w:rsid w:val="00264FF7"/>
    <w:rsid w:val="00265EA4"/>
    <w:rsid w:val="00267463"/>
    <w:rsid w:val="00267B44"/>
    <w:rsid w:val="00270EAF"/>
    <w:rsid w:val="00270F1B"/>
    <w:rsid w:val="002714F5"/>
    <w:rsid w:val="002729B7"/>
    <w:rsid w:val="00272B97"/>
    <w:rsid w:val="00274DB9"/>
    <w:rsid w:val="00275045"/>
    <w:rsid w:val="002754FE"/>
    <w:rsid w:val="00276CBF"/>
    <w:rsid w:val="00276F67"/>
    <w:rsid w:val="0027765C"/>
    <w:rsid w:val="002807FE"/>
    <w:rsid w:val="00281041"/>
    <w:rsid w:val="00281E4F"/>
    <w:rsid w:val="00281F48"/>
    <w:rsid w:val="00282687"/>
    <w:rsid w:val="002831F1"/>
    <w:rsid w:val="00283D78"/>
    <w:rsid w:val="00284339"/>
    <w:rsid w:val="00284C45"/>
    <w:rsid w:val="00286201"/>
    <w:rsid w:val="002866F3"/>
    <w:rsid w:val="00286C79"/>
    <w:rsid w:val="0028730C"/>
    <w:rsid w:val="0028753B"/>
    <w:rsid w:val="002905DA"/>
    <w:rsid w:val="002908AA"/>
    <w:rsid w:val="00292928"/>
    <w:rsid w:val="0029300C"/>
    <w:rsid w:val="00297372"/>
    <w:rsid w:val="002A0104"/>
    <w:rsid w:val="002A1A5D"/>
    <w:rsid w:val="002A2D38"/>
    <w:rsid w:val="002A3EB9"/>
    <w:rsid w:val="002A44F5"/>
    <w:rsid w:val="002A45F9"/>
    <w:rsid w:val="002A5780"/>
    <w:rsid w:val="002A6FA1"/>
    <w:rsid w:val="002A7D36"/>
    <w:rsid w:val="002A7F43"/>
    <w:rsid w:val="002B1F85"/>
    <w:rsid w:val="002B2E98"/>
    <w:rsid w:val="002B32DA"/>
    <w:rsid w:val="002B470A"/>
    <w:rsid w:val="002B486D"/>
    <w:rsid w:val="002B495A"/>
    <w:rsid w:val="002B57CB"/>
    <w:rsid w:val="002B583E"/>
    <w:rsid w:val="002B5B17"/>
    <w:rsid w:val="002B5F89"/>
    <w:rsid w:val="002B62F2"/>
    <w:rsid w:val="002B6353"/>
    <w:rsid w:val="002B6F99"/>
    <w:rsid w:val="002C09F1"/>
    <w:rsid w:val="002C1933"/>
    <w:rsid w:val="002C1BA8"/>
    <w:rsid w:val="002C2AC0"/>
    <w:rsid w:val="002C35D3"/>
    <w:rsid w:val="002C5877"/>
    <w:rsid w:val="002C6066"/>
    <w:rsid w:val="002C6446"/>
    <w:rsid w:val="002C71D2"/>
    <w:rsid w:val="002C7C06"/>
    <w:rsid w:val="002D00AD"/>
    <w:rsid w:val="002D01E5"/>
    <w:rsid w:val="002D2EEC"/>
    <w:rsid w:val="002D36E0"/>
    <w:rsid w:val="002D4032"/>
    <w:rsid w:val="002D5267"/>
    <w:rsid w:val="002D6BE2"/>
    <w:rsid w:val="002D6F58"/>
    <w:rsid w:val="002D70B4"/>
    <w:rsid w:val="002D7389"/>
    <w:rsid w:val="002E02F7"/>
    <w:rsid w:val="002E1078"/>
    <w:rsid w:val="002E1F78"/>
    <w:rsid w:val="002E237A"/>
    <w:rsid w:val="002E3164"/>
    <w:rsid w:val="002E3620"/>
    <w:rsid w:val="002E3A78"/>
    <w:rsid w:val="002E3CF6"/>
    <w:rsid w:val="002E4B44"/>
    <w:rsid w:val="002E6FC6"/>
    <w:rsid w:val="002E74D4"/>
    <w:rsid w:val="002F227A"/>
    <w:rsid w:val="002F3520"/>
    <w:rsid w:val="002F383F"/>
    <w:rsid w:val="002F4F46"/>
    <w:rsid w:val="003001E2"/>
    <w:rsid w:val="00300D50"/>
    <w:rsid w:val="003026DC"/>
    <w:rsid w:val="00303B20"/>
    <w:rsid w:val="00304D17"/>
    <w:rsid w:val="003062FA"/>
    <w:rsid w:val="00306EF3"/>
    <w:rsid w:val="00311761"/>
    <w:rsid w:val="003134BA"/>
    <w:rsid w:val="003134BF"/>
    <w:rsid w:val="0031417A"/>
    <w:rsid w:val="0031429A"/>
    <w:rsid w:val="003147FB"/>
    <w:rsid w:val="00314BA0"/>
    <w:rsid w:val="00314DE5"/>
    <w:rsid w:val="003154AE"/>
    <w:rsid w:val="00317003"/>
    <w:rsid w:val="00320E0D"/>
    <w:rsid w:val="003215C4"/>
    <w:rsid w:val="00323E4B"/>
    <w:rsid w:val="00326236"/>
    <w:rsid w:val="00326E1E"/>
    <w:rsid w:val="00326FD2"/>
    <w:rsid w:val="00330946"/>
    <w:rsid w:val="00331165"/>
    <w:rsid w:val="00331A1D"/>
    <w:rsid w:val="00331B70"/>
    <w:rsid w:val="00331CEB"/>
    <w:rsid w:val="003327E5"/>
    <w:rsid w:val="00332F4C"/>
    <w:rsid w:val="00334293"/>
    <w:rsid w:val="00335979"/>
    <w:rsid w:val="00335B86"/>
    <w:rsid w:val="00335EDA"/>
    <w:rsid w:val="00336C07"/>
    <w:rsid w:val="00337DCB"/>
    <w:rsid w:val="00340C7D"/>
    <w:rsid w:val="00341F82"/>
    <w:rsid w:val="0034202E"/>
    <w:rsid w:val="003425A8"/>
    <w:rsid w:val="0034283A"/>
    <w:rsid w:val="0034342B"/>
    <w:rsid w:val="00343E0F"/>
    <w:rsid w:val="00344513"/>
    <w:rsid w:val="00345F85"/>
    <w:rsid w:val="00346367"/>
    <w:rsid w:val="003504A9"/>
    <w:rsid w:val="00350577"/>
    <w:rsid w:val="0035169C"/>
    <w:rsid w:val="003532D6"/>
    <w:rsid w:val="00354535"/>
    <w:rsid w:val="00360000"/>
    <w:rsid w:val="00360220"/>
    <w:rsid w:val="00361C07"/>
    <w:rsid w:val="003625A3"/>
    <w:rsid w:val="00362740"/>
    <w:rsid w:val="00362AAD"/>
    <w:rsid w:val="00364003"/>
    <w:rsid w:val="00364A1F"/>
    <w:rsid w:val="00364E28"/>
    <w:rsid w:val="0036518C"/>
    <w:rsid w:val="00366B5A"/>
    <w:rsid w:val="003679F8"/>
    <w:rsid w:val="00367BF0"/>
    <w:rsid w:val="00370B26"/>
    <w:rsid w:val="00370D9B"/>
    <w:rsid w:val="00371062"/>
    <w:rsid w:val="003734FD"/>
    <w:rsid w:val="003735B0"/>
    <w:rsid w:val="00373A92"/>
    <w:rsid w:val="00375487"/>
    <w:rsid w:val="0037570A"/>
    <w:rsid w:val="00376923"/>
    <w:rsid w:val="0037714E"/>
    <w:rsid w:val="00377166"/>
    <w:rsid w:val="00380095"/>
    <w:rsid w:val="00380D3E"/>
    <w:rsid w:val="0038225B"/>
    <w:rsid w:val="00382414"/>
    <w:rsid w:val="00382476"/>
    <w:rsid w:val="00382CE7"/>
    <w:rsid w:val="003830EF"/>
    <w:rsid w:val="00385DBB"/>
    <w:rsid w:val="0038718A"/>
    <w:rsid w:val="00390DEF"/>
    <w:rsid w:val="00390FE7"/>
    <w:rsid w:val="00392647"/>
    <w:rsid w:val="003935FF"/>
    <w:rsid w:val="00393DDE"/>
    <w:rsid w:val="00394653"/>
    <w:rsid w:val="00394869"/>
    <w:rsid w:val="003957CB"/>
    <w:rsid w:val="003963B1"/>
    <w:rsid w:val="003965A6"/>
    <w:rsid w:val="00396A45"/>
    <w:rsid w:val="00396B06"/>
    <w:rsid w:val="003A1000"/>
    <w:rsid w:val="003A2EC1"/>
    <w:rsid w:val="003A2FA3"/>
    <w:rsid w:val="003A38D4"/>
    <w:rsid w:val="003A3AF7"/>
    <w:rsid w:val="003A7692"/>
    <w:rsid w:val="003B1BA0"/>
    <w:rsid w:val="003B2605"/>
    <w:rsid w:val="003B3876"/>
    <w:rsid w:val="003B570E"/>
    <w:rsid w:val="003B720C"/>
    <w:rsid w:val="003C0188"/>
    <w:rsid w:val="003C1205"/>
    <w:rsid w:val="003C297C"/>
    <w:rsid w:val="003C35FD"/>
    <w:rsid w:val="003C4C29"/>
    <w:rsid w:val="003C69EF"/>
    <w:rsid w:val="003D061F"/>
    <w:rsid w:val="003D07E9"/>
    <w:rsid w:val="003D1351"/>
    <w:rsid w:val="003D1D1A"/>
    <w:rsid w:val="003D24B3"/>
    <w:rsid w:val="003D265A"/>
    <w:rsid w:val="003D344C"/>
    <w:rsid w:val="003D38BB"/>
    <w:rsid w:val="003D3D18"/>
    <w:rsid w:val="003D4EE6"/>
    <w:rsid w:val="003D6BB2"/>
    <w:rsid w:val="003D7293"/>
    <w:rsid w:val="003D7DFB"/>
    <w:rsid w:val="003E2D3A"/>
    <w:rsid w:val="003E4931"/>
    <w:rsid w:val="003E4EDC"/>
    <w:rsid w:val="003E5559"/>
    <w:rsid w:val="003E622D"/>
    <w:rsid w:val="003E7D17"/>
    <w:rsid w:val="003F2854"/>
    <w:rsid w:val="003F2DB4"/>
    <w:rsid w:val="003F3CC8"/>
    <w:rsid w:val="003F5081"/>
    <w:rsid w:val="003F677E"/>
    <w:rsid w:val="004012CD"/>
    <w:rsid w:val="00401D49"/>
    <w:rsid w:val="00402F6F"/>
    <w:rsid w:val="00403AE8"/>
    <w:rsid w:val="004049EC"/>
    <w:rsid w:val="00404AFC"/>
    <w:rsid w:val="00404F38"/>
    <w:rsid w:val="0041061D"/>
    <w:rsid w:val="00414492"/>
    <w:rsid w:val="00414953"/>
    <w:rsid w:val="00417E5B"/>
    <w:rsid w:val="0042040B"/>
    <w:rsid w:val="004210CC"/>
    <w:rsid w:val="004210D9"/>
    <w:rsid w:val="00421DB5"/>
    <w:rsid w:val="0042250E"/>
    <w:rsid w:val="004234BF"/>
    <w:rsid w:val="004248D4"/>
    <w:rsid w:val="00426CA0"/>
    <w:rsid w:val="00426E39"/>
    <w:rsid w:val="0042707E"/>
    <w:rsid w:val="00430209"/>
    <w:rsid w:val="004308CA"/>
    <w:rsid w:val="00430BFC"/>
    <w:rsid w:val="00430C4D"/>
    <w:rsid w:val="00431F3D"/>
    <w:rsid w:val="00432262"/>
    <w:rsid w:val="00432395"/>
    <w:rsid w:val="00432AE9"/>
    <w:rsid w:val="00432FA9"/>
    <w:rsid w:val="00433289"/>
    <w:rsid w:val="00433846"/>
    <w:rsid w:val="0043386E"/>
    <w:rsid w:val="00434A05"/>
    <w:rsid w:val="0043571B"/>
    <w:rsid w:val="004366EA"/>
    <w:rsid w:val="00440E12"/>
    <w:rsid w:val="004454E4"/>
    <w:rsid w:val="00445E7A"/>
    <w:rsid w:val="004464F7"/>
    <w:rsid w:val="00447C6A"/>
    <w:rsid w:val="004503E7"/>
    <w:rsid w:val="00452BB6"/>
    <w:rsid w:val="004555C0"/>
    <w:rsid w:val="0045588F"/>
    <w:rsid w:val="00455E34"/>
    <w:rsid w:val="0045676F"/>
    <w:rsid w:val="004570E3"/>
    <w:rsid w:val="004574CA"/>
    <w:rsid w:val="00457D82"/>
    <w:rsid w:val="00457E88"/>
    <w:rsid w:val="00461803"/>
    <w:rsid w:val="00461E83"/>
    <w:rsid w:val="0046241E"/>
    <w:rsid w:val="0046335B"/>
    <w:rsid w:val="00464EED"/>
    <w:rsid w:val="004653DD"/>
    <w:rsid w:val="00465C5B"/>
    <w:rsid w:val="00466D3E"/>
    <w:rsid w:val="004675B6"/>
    <w:rsid w:val="00467A55"/>
    <w:rsid w:val="00470426"/>
    <w:rsid w:val="004706DF"/>
    <w:rsid w:val="0047086E"/>
    <w:rsid w:val="00472AFB"/>
    <w:rsid w:val="00473079"/>
    <w:rsid w:val="00475150"/>
    <w:rsid w:val="0047619A"/>
    <w:rsid w:val="00477250"/>
    <w:rsid w:val="004772EA"/>
    <w:rsid w:val="00480292"/>
    <w:rsid w:val="00483FE0"/>
    <w:rsid w:val="0048494B"/>
    <w:rsid w:val="00487771"/>
    <w:rsid w:val="004921F0"/>
    <w:rsid w:val="00492243"/>
    <w:rsid w:val="00492DAC"/>
    <w:rsid w:val="00493650"/>
    <w:rsid w:val="00493AEC"/>
    <w:rsid w:val="00493B9C"/>
    <w:rsid w:val="00493F68"/>
    <w:rsid w:val="0049435E"/>
    <w:rsid w:val="00496E93"/>
    <w:rsid w:val="004A03A6"/>
    <w:rsid w:val="004A097F"/>
    <w:rsid w:val="004A0C32"/>
    <w:rsid w:val="004A0D70"/>
    <w:rsid w:val="004A454D"/>
    <w:rsid w:val="004A4FEF"/>
    <w:rsid w:val="004A589E"/>
    <w:rsid w:val="004A5C5C"/>
    <w:rsid w:val="004A62C2"/>
    <w:rsid w:val="004A7044"/>
    <w:rsid w:val="004A776F"/>
    <w:rsid w:val="004B29C9"/>
    <w:rsid w:val="004B37B8"/>
    <w:rsid w:val="004B48AC"/>
    <w:rsid w:val="004B4ACC"/>
    <w:rsid w:val="004B5D51"/>
    <w:rsid w:val="004B697E"/>
    <w:rsid w:val="004B6F2A"/>
    <w:rsid w:val="004C054F"/>
    <w:rsid w:val="004C064B"/>
    <w:rsid w:val="004C10B8"/>
    <w:rsid w:val="004C1575"/>
    <w:rsid w:val="004C19A7"/>
    <w:rsid w:val="004C21CE"/>
    <w:rsid w:val="004C270B"/>
    <w:rsid w:val="004C3EC2"/>
    <w:rsid w:val="004C40AC"/>
    <w:rsid w:val="004C4F16"/>
    <w:rsid w:val="004C5131"/>
    <w:rsid w:val="004C5799"/>
    <w:rsid w:val="004C73E3"/>
    <w:rsid w:val="004D0A0F"/>
    <w:rsid w:val="004D2860"/>
    <w:rsid w:val="004D3473"/>
    <w:rsid w:val="004D3A1C"/>
    <w:rsid w:val="004D4380"/>
    <w:rsid w:val="004D4C2D"/>
    <w:rsid w:val="004D5361"/>
    <w:rsid w:val="004D5820"/>
    <w:rsid w:val="004D5C7E"/>
    <w:rsid w:val="004D611E"/>
    <w:rsid w:val="004D6834"/>
    <w:rsid w:val="004D683D"/>
    <w:rsid w:val="004E283D"/>
    <w:rsid w:val="004E2BE9"/>
    <w:rsid w:val="004E3F9A"/>
    <w:rsid w:val="004E4239"/>
    <w:rsid w:val="004E42AF"/>
    <w:rsid w:val="004E4539"/>
    <w:rsid w:val="004E521D"/>
    <w:rsid w:val="004E5263"/>
    <w:rsid w:val="004E5368"/>
    <w:rsid w:val="004E5B10"/>
    <w:rsid w:val="004E612B"/>
    <w:rsid w:val="004E613D"/>
    <w:rsid w:val="004E71B3"/>
    <w:rsid w:val="004F11DB"/>
    <w:rsid w:val="004F1244"/>
    <w:rsid w:val="004F1FF2"/>
    <w:rsid w:val="004F2C04"/>
    <w:rsid w:val="004F3446"/>
    <w:rsid w:val="004F3B90"/>
    <w:rsid w:val="004F461C"/>
    <w:rsid w:val="004F5521"/>
    <w:rsid w:val="004F71DD"/>
    <w:rsid w:val="004F7DC6"/>
    <w:rsid w:val="005005FC"/>
    <w:rsid w:val="00505569"/>
    <w:rsid w:val="00506E5B"/>
    <w:rsid w:val="00507755"/>
    <w:rsid w:val="00507786"/>
    <w:rsid w:val="00507ABA"/>
    <w:rsid w:val="00507C1C"/>
    <w:rsid w:val="00507CD0"/>
    <w:rsid w:val="00507DC3"/>
    <w:rsid w:val="005103F6"/>
    <w:rsid w:val="005139BF"/>
    <w:rsid w:val="00516110"/>
    <w:rsid w:val="00522ED4"/>
    <w:rsid w:val="005263A1"/>
    <w:rsid w:val="00527CF0"/>
    <w:rsid w:val="00531A83"/>
    <w:rsid w:val="00531B82"/>
    <w:rsid w:val="00533CF3"/>
    <w:rsid w:val="005353D4"/>
    <w:rsid w:val="00535983"/>
    <w:rsid w:val="00535D82"/>
    <w:rsid w:val="00535EDF"/>
    <w:rsid w:val="00536F40"/>
    <w:rsid w:val="00543003"/>
    <w:rsid w:val="00543B06"/>
    <w:rsid w:val="00544435"/>
    <w:rsid w:val="005451CE"/>
    <w:rsid w:val="00545868"/>
    <w:rsid w:val="005468D1"/>
    <w:rsid w:val="00546EEB"/>
    <w:rsid w:val="005470DA"/>
    <w:rsid w:val="00547A34"/>
    <w:rsid w:val="00551228"/>
    <w:rsid w:val="00551C60"/>
    <w:rsid w:val="00552AD9"/>
    <w:rsid w:val="00555DDE"/>
    <w:rsid w:val="00557AB1"/>
    <w:rsid w:val="00560515"/>
    <w:rsid w:val="005609FA"/>
    <w:rsid w:val="0056141D"/>
    <w:rsid w:val="00562FB5"/>
    <w:rsid w:val="00563378"/>
    <w:rsid w:val="00564E3B"/>
    <w:rsid w:val="00566E65"/>
    <w:rsid w:val="00570DBF"/>
    <w:rsid w:val="00571840"/>
    <w:rsid w:val="00571CDA"/>
    <w:rsid w:val="005729A7"/>
    <w:rsid w:val="005741F9"/>
    <w:rsid w:val="005749EA"/>
    <w:rsid w:val="00574A75"/>
    <w:rsid w:val="005769EE"/>
    <w:rsid w:val="00582F7C"/>
    <w:rsid w:val="00583E4A"/>
    <w:rsid w:val="0058488B"/>
    <w:rsid w:val="005849FB"/>
    <w:rsid w:val="005861F4"/>
    <w:rsid w:val="00592AAC"/>
    <w:rsid w:val="00593F53"/>
    <w:rsid w:val="0059412D"/>
    <w:rsid w:val="00595BBC"/>
    <w:rsid w:val="005976D0"/>
    <w:rsid w:val="00597ABE"/>
    <w:rsid w:val="005A0395"/>
    <w:rsid w:val="005A0A09"/>
    <w:rsid w:val="005A0C5E"/>
    <w:rsid w:val="005A1BBD"/>
    <w:rsid w:val="005A27CE"/>
    <w:rsid w:val="005A3ACA"/>
    <w:rsid w:val="005A3B97"/>
    <w:rsid w:val="005A3F61"/>
    <w:rsid w:val="005A62F3"/>
    <w:rsid w:val="005A695C"/>
    <w:rsid w:val="005A7084"/>
    <w:rsid w:val="005A7D67"/>
    <w:rsid w:val="005B164D"/>
    <w:rsid w:val="005B1A53"/>
    <w:rsid w:val="005B36D5"/>
    <w:rsid w:val="005B4FD2"/>
    <w:rsid w:val="005B5299"/>
    <w:rsid w:val="005B7DAF"/>
    <w:rsid w:val="005C0502"/>
    <w:rsid w:val="005C1230"/>
    <w:rsid w:val="005C2760"/>
    <w:rsid w:val="005C312D"/>
    <w:rsid w:val="005C4048"/>
    <w:rsid w:val="005C6AA6"/>
    <w:rsid w:val="005C7214"/>
    <w:rsid w:val="005D02DD"/>
    <w:rsid w:val="005D3838"/>
    <w:rsid w:val="005D4F76"/>
    <w:rsid w:val="005D5518"/>
    <w:rsid w:val="005E0EDD"/>
    <w:rsid w:val="005E2080"/>
    <w:rsid w:val="005E21F4"/>
    <w:rsid w:val="005E36DF"/>
    <w:rsid w:val="005E37B9"/>
    <w:rsid w:val="005E7498"/>
    <w:rsid w:val="005E7E62"/>
    <w:rsid w:val="005F10B8"/>
    <w:rsid w:val="005F5B10"/>
    <w:rsid w:val="005F799E"/>
    <w:rsid w:val="00600395"/>
    <w:rsid w:val="0060064F"/>
    <w:rsid w:val="00605820"/>
    <w:rsid w:val="00607CEF"/>
    <w:rsid w:val="006118CB"/>
    <w:rsid w:val="00612EF5"/>
    <w:rsid w:val="0061305B"/>
    <w:rsid w:val="0061378D"/>
    <w:rsid w:val="00617669"/>
    <w:rsid w:val="00622383"/>
    <w:rsid w:val="00622BFF"/>
    <w:rsid w:val="00622D82"/>
    <w:rsid w:val="00623210"/>
    <w:rsid w:val="00625D7E"/>
    <w:rsid w:val="00627AA6"/>
    <w:rsid w:val="0063197B"/>
    <w:rsid w:val="006340E7"/>
    <w:rsid w:val="006353CD"/>
    <w:rsid w:val="00636FF7"/>
    <w:rsid w:val="00640BE1"/>
    <w:rsid w:val="006412DB"/>
    <w:rsid w:val="00645997"/>
    <w:rsid w:val="00645D87"/>
    <w:rsid w:val="00647EB7"/>
    <w:rsid w:val="006505E5"/>
    <w:rsid w:val="0065249E"/>
    <w:rsid w:val="00652C9A"/>
    <w:rsid w:val="006538B7"/>
    <w:rsid w:val="00653E57"/>
    <w:rsid w:val="00653EA9"/>
    <w:rsid w:val="00654C07"/>
    <w:rsid w:val="00654D96"/>
    <w:rsid w:val="0065553B"/>
    <w:rsid w:val="006565C0"/>
    <w:rsid w:val="0065667C"/>
    <w:rsid w:val="00657A1D"/>
    <w:rsid w:val="00660257"/>
    <w:rsid w:val="006605F5"/>
    <w:rsid w:val="00661036"/>
    <w:rsid w:val="006610A9"/>
    <w:rsid w:val="006610D1"/>
    <w:rsid w:val="00661D0F"/>
    <w:rsid w:val="00661EE5"/>
    <w:rsid w:val="00664565"/>
    <w:rsid w:val="006657E1"/>
    <w:rsid w:val="006669BF"/>
    <w:rsid w:val="00666F9B"/>
    <w:rsid w:val="0066775E"/>
    <w:rsid w:val="006725D1"/>
    <w:rsid w:val="00672F5F"/>
    <w:rsid w:val="006735C2"/>
    <w:rsid w:val="0067381A"/>
    <w:rsid w:val="00674710"/>
    <w:rsid w:val="0067482F"/>
    <w:rsid w:val="00674FFE"/>
    <w:rsid w:val="00675EB9"/>
    <w:rsid w:val="00676996"/>
    <w:rsid w:val="00676D31"/>
    <w:rsid w:val="006828D8"/>
    <w:rsid w:val="00685C35"/>
    <w:rsid w:val="0068688D"/>
    <w:rsid w:val="00686AB4"/>
    <w:rsid w:val="00692DAC"/>
    <w:rsid w:val="006943D1"/>
    <w:rsid w:val="00695FA1"/>
    <w:rsid w:val="006A011E"/>
    <w:rsid w:val="006A0202"/>
    <w:rsid w:val="006A02D8"/>
    <w:rsid w:val="006A2097"/>
    <w:rsid w:val="006A293E"/>
    <w:rsid w:val="006A2BE4"/>
    <w:rsid w:val="006A3A41"/>
    <w:rsid w:val="006A4C2C"/>
    <w:rsid w:val="006A53A9"/>
    <w:rsid w:val="006A6CD8"/>
    <w:rsid w:val="006B024F"/>
    <w:rsid w:val="006B08DE"/>
    <w:rsid w:val="006B1C43"/>
    <w:rsid w:val="006B2215"/>
    <w:rsid w:val="006B4AE5"/>
    <w:rsid w:val="006B5088"/>
    <w:rsid w:val="006B54C7"/>
    <w:rsid w:val="006B5B94"/>
    <w:rsid w:val="006B6749"/>
    <w:rsid w:val="006B7169"/>
    <w:rsid w:val="006B7BA7"/>
    <w:rsid w:val="006C1935"/>
    <w:rsid w:val="006C1F4D"/>
    <w:rsid w:val="006C1F68"/>
    <w:rsid w:val="006C2D43"/>
    <w:rsid w:val="006C61B5"/>
    <w:rsid w:val="006C6473"/>
    <w:rsid w:val="006C7706"/>
    <w:rsid w:val="006D071F"/>
    <w:rsid w:val="006D0B66"/>
    <w:rsid w:val="006D0D4E"/>
    <w:rsid w:val="006D1148"/>
    <w:rsid w:val="006D1616"/>
    <w:rsid w:val="006D3559"/>
    <w:rsid w:val="006D58D1"/>
    <w:rsid w:val="006D7A7C"/>
    <w:rsid w:val="006E01C6"/>
    <w:rsid w:val="006E1BCA"/>
    <w:rsid w:val="006E367D"/>
    <w:rsid w:val="006E3947"/>
    <w:rsid w:val="006E3C76"/>
    <w:rsid w:val="006E3D6E"/>
    <w:rsid w:val="006E3E66"/>
    <w:rsid w:val="006E5353"/>
    <w:rsid w:val="006E676F"/>
    <w:rsid w:val="006E762E"/>
    <w:rsid w:val="006F05EF"/>
    <w:rsid w:val="006F0899"/>
    <w:rsid w:val="006F1CE7"/>
    <w:rsid w:val="006F3577"/>
    <w:rsid w:val="006F55C0"/>
    <w:rsid w:val="006F5A95"/>
    <w:rsid w:val="006F5D6C"/>
    <w:rsid w:val="006F6B84"/>
    <w:rsid w:val="006F7474"/>
    <w:rsid w:val="006F7C33"/>
    <w:rsid w:val="006F7E0E"/>
    <w:rsid w:val="006F7F0A"/>
    <w:rsid w:val="007000F6"/>
    <w:rsid w:val="007005EB"/>
    <w:rsid w:val="00701627"/>
    <w:rsid w:val="007037FB"/>
    <w:rsid w:val="0070437B"/>
    <w:rsid w:val="007058E5"/>
    <w:rsid w:val="007063B4"/>
    <w:rsid w:val="00707BC0"/>
    <w:rsid w:val="007102FE"/>
    <w:rsid w:val="00711275"/>
    <w:rsid w:val="00711C61"/>
    <w:rsid w:val="007146CC"/>
    <w:rsid w:val="007169EE"/>
    <w:rsid w:val="00717BD3"/>
    <w:rsid w:val="00717E80"/>
    <w:rsid w:val="00721DBA"/>
    <w:rsid w:val="00722FFD"/>
    <w:rsid w:val="00723D87"/>
    <w:rsid w:val="00723EF9"/>
    <w:rsid w:val="0072414F"/>
    <w:rsid w:val="0072437E"/>
    <w:rsid w:val="007251C1"/>
    <w:rsid w:val="007334E2"/>
    <w:rsid w:val="007357AD"/>
    <w:rsid w:val="00736585"/>
    <w:rsid w:val="00736D2C"/>
    <w:rsid w:val="007376EA"/>
    <w:rsid w:val="007401AF"/>
    <w:rsid w:val="0074131B"/>
    <w:rsid w:val="0074141A"/>
    <w:rsid w:val="00741E8F"/>
    <w:rsid w:val="00742006"/>
    <w:rsid w:val="00742337"/>
    <w:rsid w:val="00743198"/>
    <w:rsid w:val="0074457F"/>
    <w:rsid w:val="00746E58"/>
    <w:rsid w:val="00750260"/>
    <w:rsid w:val="007518B3"/>
    <w:rsid w:val="007521FD"/>
    <w:rsid w:val="00752563"/>
    <w:rsid w:val="00752686"/>
    <w:rsid w:val="007536F9"/>
    <w:rsid w:val="00753A56"/>
    <w:rsid w:val="007543F7"/>
    <w:rsid w:val="00754C4A"/>
    <w:rsid w:val="00754EC4"/>
    <w:rsid w:val="00755114"/>
    <w:rsid w:val="00756678"/>
    <w:rsid w:val="00756DD6"/>
    <w:rsid w:val="00762796"/>
    <w:rsid w:val="00762FE6"/>
    <w:rsid w:val="0076340E"/>
    <w:rsid w:val="0076348E"/>
    <w:rsid w:val="007642D3"/>
    <w:rsid w:val="007646BC"/>
    <w:rsid w:val="00764D29"/>
    <w:rsid w:val="00765BC8"/>
    <w:rsid w:val="0076636C"/>
    <w:rsid w:val="0076657A"/>
    <w:rsid w:val="00766756"/>
    <w:rsid w:val="00770420"/>
    <w:rsid w:val="00770AD7"/>
    <w:rsid w:val="00771E7B"/>
    <w:rsid w:val="00771EF1"/>
    <w:rsid w:val="007720AA"/>
    <w:rsid w:val="007731E6"/>
    <w:rsid w:val="007733AD"/>
    <w:rsid w:val="00773B2D"/>
    <w:rsid w:val="007751F1"/>
    <w:rsid w:val="00775EDB"/>
    <w:rsid w:val="0077661B"/>
    <w:rsid w:val="00780E2C"/>
    <w:rsid w:val="00781C2A"/>
    <w:rsid w:val="00781CD5"/>
    <w:rsid w:val="00781E88"/>
    <w:rsid w:val="00782155"/>
    <w:rsid w:val="00783670"/>
    <w:rsid w:val="00783FD4"/>
    <w:rsid w:val="00784B13"/>
    <w:rsid w:val="00785AAC"/>
    <w:rsid w:val="00785D14"/>
    <w:rsid w:val="007869F0"/>
    <w:rsid w:val="007874D6"/>
    <w:rsid w:val="00790148"/>
    <w:rsid w:val="00790EF0"/>
    <w:rsid w:val="00792F59"/>
    <w:rsid w:val="00793445"/>
    <w:rsid w:val="007957B9"/>
    <w:rsid w:val="00795988"/>
    <w:rsid w:val="00795FB9"/>
    <w:rsid w:val="007962FF"/>
    <w:rsid w:val="00796F74"/>
    <w:rsid w:val="00797068"/>
    <w:rsid w:val="007A08CD"/>
    <w:rsid w:val="007A11BA"/>
    <w:rsid w:val="007A172C"/>
    <w:rsid w:val="007A18A4"/>
    <w:rsid w:val="007A2726"/>
    <w:rsid w:val="007A2D80"/>
    <w:rsid w:val="007A34B1"/>
    <w:rsid w:val="007A4643"/>
    <w:rsid w:val="007A4AF6"/>
    <w:rsid w:val="007A559C"/>
    <w:rsid w:val="007A59F9"/>
    <w:rsid w:val="007A63A9"/>
    <w:rsid w:val="007A763D"/>
    <w:rsid w:val="007A7DF1"/>
    <w:rsid w:val="007B05C3"/>
    <w:rsid w:val="007B0778"/>
    <w:rsid w:val="007B0916"/>
    <w:rsid w:val="007B09ED"/>
    <w:rsid w:val="007B1228"/>
    <w:rsid w:val="007B19B4"/>
    <w:rsid w:val="007B2037"/>
    <w:rsid w:val="007B288A"/>
    <w:rsid w:val="007B3425"/>
    <w:rsid w:val="007B3576"/>
    <w:rsid w:val="007B4C2D"/>
    <w:rsid w:val="007B5F50"/>
    <w:rsid w:val="007B7928"/>
    <w:rsid w:val="007B7F42"/>
    <w:rsid w:val="007C0111"/>
    <w:rsid w:val="007C1CA3"/>
    <w:rsid w:val="007C202B"/>
    <w:rsid w:val="007C27C1"/>
    <w:rsid w:val="007C2B2D"/>
    <w:rsid w:val="007C2DBB"/>
    <w:rsid w:val="007C2DE4"/>
    <w:rsid w:val="007C3CB5"/>
    <w:rsid w:val="007C5A51"/>
    <w:rsid w:val="007C63EE"/>
    <w:rsid w:val="007D1F8B"/>
    <w:rsid w:val="007D2435"/>
    <w:rsid w:val="007D2C17"/>
    <w:rsid w:val="007D2F42"/>
    <w:rsid w:val="007D2FFB"/>
    <w:rsid w:val="007D3795"/>
    <w:rsid w:val="007D3DEC"/>
    <w:rsid w:val="007D521E"/>
    <w:rsid w:val="007D6318"/>
    <w:rsid w:val="007D7421"/>
    <w:rsid w:val="007D78FC"/>
    <w:rsid w:val="007D7FE4"/>
    <w:rsid w:val="007E0082"/>
    <w:rsid w:val="007E05C8"/>
    <w:rsid w:val="007E12D2"/>
    <w:rsid w:val="007E2188"/>
    <w:rsid w:val="007E36DC"/>
    <w:rsid w:val="007E3E6A"/>
    <w:rsid w:val="007E4124"/>
    <w:rsid w:val="007E4184"/>
    <w:rsid w:val="007E4634"/>
    <w:rsid w:val="007E4FED"/>
    <w:rsid w:val="007E6215"/>
    <w:rsid w:val="007E7420"/>
    <w:rsid w:val="007E7C23"/>
    <w:rsid w:val="007F1BBA"/>
    <w:rsid w:val="007F1D82"/>
    <w:rsid w:val="007F2DCC"/>
    <w:rsid w:val="007F3BC2"/>
    <w:rsid w:val="007F4C4B"/>
    <w:rsid w:val="007F58BC"/>
    <w:rsid w:val="007F6C1B"/>
    <w:rsid w:val="0080246D"/>
    <w:rsid w:val="008033D4"/>
    <w:rsid w:val="008041EB"/>
    <w:rsid w:val="008042D7"/>
    <w:rsid w:val="0081099A"/>
    <w:rsid w:val="00813283"/>
    <w:rsid w:val="00813C40"/>
    <w:rsid w:val="008142AD"/>
    <w:rsid w:val="00815DBE"/>
    <w:rsid w:val="00815FC0"/>
    <w:rsid w:val="0082080A"/>
    <w:rsid w:val="00822997"/>
    <w:rsid w:val="00824276"/>
    <w:rsid w:val="00825F27"/>
    <w:rsid w:val="008265A8"/>
    <w:rsid w:val="00827511"/>
    <w:rsid w:val="008279CC"/>
    <w:rsid w:val="00830775"/>
    <w:rsid w:val="00833654"/>
    <w:rsid w:val="0083398D"/>
    <w:rsid w:val="00834252"/>
    <w:rsid w:val="00834310"/>
    <w:rsid w:val="00834450"/>
    <w:rsid w:val="00834B93"/>
    <w:rsid w:val="00836423"/>
    <w:rsid w:val="008369E9"/>
    <w:rsid w:val="008370D6"/>
    <w:rsid w:val="008372D0"/>
    <w:rsid w:val="00837694"/>
    <w:rsid w:val="0084200A"/>
    <w:rsid w:val="00842625"/>
    <w:rsid w:val="00843F9F"/>
    <w:rsid w:val="008462B6"/>
    <w:rsid w:val="008462FE"/>
    <w:rsid w:val="00846D60"/>
    <w:rsid w:val="00847D34"/>
    <w:rsid w:val="00852A59"/>
    <w:rsid w:val="00854841"/>
    <w:rsid w:val="008548C2"/>
    <w:rsid w:val="0085561C"/>
    <w:rsid w:val="00856557"/>
    <w:rsid w:val="00857EC9"/>
    <w:rsid w:val="0086005A"/>
    <w:rsid w:val="00860C78"/>
    <w:rsid w:val="0086182F"/>
    <w:rsid w:val="0086404F"/>
    <w:rsid w:val="00865200"/>
    <w:rsid w:val="00865DCC"/>
    <w:rsid w:val="00866F88"/>
    <w:rsid w:val="00867081"/>
    <w:rsid w:val="00867E5D"/>
    <w:rsid w:val="00867FCD"/>
    <w:rsid w:val="0087048E"/>
    <w:rsid w:val="00870FAD"/>
    <w:rsid w:val="0087210E"/>
    <w:rsid w:val="008734B7"/>
    <w:rsid w:val="00874DB4"/>
    <w:rsid w:val="00874F3C"/>
    <w:rsid w:val="00877893"/>
    <w:rsid w:val="00881C9B"/>
    <w:rsid w:val="00882A02"/>
    <w:rsid w:val="00883F24"/>
    <w:rsid w:val="00884239"/>
    <w:rsid w:val="00884387"/>
    <w:rsid w:val="00884DB7"/>
    <w:rsid w:val="00885008"/>
    <w:rsid w:val="00885485"/>
    <w:rsid w:val="00887671"/>
    <w:rsid w:val="00891B1C"/>
    <w:rsid w:val="00892835"/>
    <w:rsid w:val="00893041"/>
    <w:rsid w:val="00893AA8"/>
    <w:rsid w:val="00893CAC"/>
    <w:rsid w:val="00894A4B"/>
    <w:rsid w:val="00895322"/>
    <w:rsid w:val="0089651E"/>
    <w:rsid w:val="00897DB0"/>
    <w:rsid w:val="008A07DE"/>
    <w:rsid w:val="008A1B9D"/>
    <w:rsid w:val="008A3CAF"/>
    <w:rsid w:val="008A4DB2"/>
    <w:rsid w:val="008A6163"/>
    <w:rsid w:val="008A62B5"/>
    <w:rsid w:val="008A6859"/>
    <w:rsid w:val="008B1346"/>
    <w:rsid w:val="008B1C70"/>
    <w:rsid w:val="008B2ABE"/>
    <w:rsid w:val="008B2DFB"/>
    <w:rsid w:val="008B3083"/>
    <w:rsid w:val="008B361F"/>
    <w:rsid w:val="008B5E91"/>
    <w:rsid w:val="008B6518"/>
    <w:rsid w:val="008B6F39"/>
    <w:rsid w:val="008B75C2"/>
    <w:rsid w:val="008C1919"/>
    <w:rsid w:val="008C2056"/>
    <w:rsid w:val="008C38EB"/>
    <w:rsid w:val="008C4A56"/>
    <w:rsid w:val="008C4DD2"/>
    <w:rsid w:val="008C60B6"/>
    <w:rsid w:val="008C6A78"/>
    <w:rsid w:val="008C7413"/>
    <w:rsid w:val="008C7CB6"/>
    <w:rsid w:val="008D080C"/>
    <w:rsid w:val="008D132C"/>
    <w:rsid w:val="008D457F"/>
    <w:rsid w:val="008D5457"/>
    <w:rsid w:val="008D5884"/>
    <w:rsid w:val="008D63A0"/>
    <w:rsid w:val="008E00A9"/>
    <w:rsid w:val="008E02E6"/>
    <w:rsid w:val="008E048C"/>
    <w:rsid w:val="008E273F"/>
    <w:rsid w:val="008E3264"/>
    <w:rsid w:val="008E4414"/>
    <w:rsid w:val="008E45AC"/>
    <w:rsid w:val="008E6B5A"/>
    <w:rsid w:val="008E6FA2"/>
    <w:rsid w:val="008F0532"/>
    <w:rsid w:val="008F08CA"/>
    <w:rsid w:val="008F0B7E"/>
    <w:rsid w:val="008F239E"/>
    <w:rsid w:val="008F2FD9"/>
    <w:rsid w:val="008F63EE"/>
    <w:rsid w:val="008F6405"/>
    <w:rsid w:val="008F6732"/>
    <w:rsid w:val="008F7574"/>
    <w:rsid w:val="008F7CA3"/>
    <w:rsid w:val="00900878"/>
    <w:rsid w:val="00900CA5"/>
    <w:rsid w:val="00900CAA"/>
    <w:rsid w:val="00901D6C"/>
    <w:rsid w:val="009028AA"/>
    <w:rsid w:val="00902FDF"/>
    <w:rsid w:val="0090420E"/>
    <w:rsid w:val="00907242"/>
    <w:rsid w:val="0091152F"/>
    <w:rsid w:val="00912080"/>
    <w:rsid w:val="009135FE"/>
    <w:rsid w:val="00913798"/>
    <w:rsid w:val="00913A20"/>
    <w:rsid w:val="0091497C"/>
    <w:rsid w:val="00915232"/>
    <w:rsid w:val="00916B61"/>
    <w:rsid w:val="00916F97"/>
    <w:rsid w:val="00923744"/>
    <w:rsid w:val="00923951"/>
    <w:rsid w:val="00924081"/>
    <w:rsid w:val="00924FA2"/>
    <w:rsid w:val="0092583A"/>
    <w:rsid w:val="009269F5"/>
    <w:rsid w:val="00926E36"/>
    <w:rsid w:val="009304BD"/>
    <w:rsid w:val="00930E4A"/>
    <w:rsid w:val="0093205B"/>
    <w:rsid w:val="00936B1B"/>
    <w:rsid w:val="00937F44"/>
    <w:rsid w:val="009435F8"/>
    <w:rsid w:val="00943DC8"/>
    <w:rsid w:val="009446A7"/>
    <w:rsid w:val="00946385"/>
    <w:rsid w:val="00947EB7"/>
    <w:rsid w:val="00950E28"/>
    <w:rsid w:val="00951C6A"/>
    <w:rsid w:val="00953532"/>
    <w:rsid w:val="0095439F"/>
    <w:rsid w:val="0095541B"/>
    <w:rsid w:val="009557FF"/>
    <w:rsid w:val="009558F6"/>
    <w:rsid w:val="00955C2C"/>
    <w:rsid w:val="00956221"/>
    <w:rsid w:val="009567CC"/>
    <w:rsid w:val="00957044"/>
    <w:rsid w:val="009574AA"/>
    <w:rsid w:val="00957711"/>
    <w:rsid w:val="0096018A"/>
    <w:rsid w:val="00960A71"/>
    <w:rsid w:val="00961F57"/>
    <w:rsid w:val="009624F8"/>
    <w:rsid w:val="00962E67"/>
    <w:rsid w:val="00963196"/>
    <w:rsid w:val="00965202"/>
    <w:rsid w:val="009659EA"/>
    <w:rsid w:val="00965D62"/>
    <w:rsid w:val="009663CF"/>
    <w:rsid w:val="0096796B"/>
    <w:rsid w:val="0097141C"/>
    <w:rsid w:val="00972589"/>
    <w:rsid w:val="00973D63"/>
    <w:rsid w:val="00975131"/>
    <w:rsid w:val="00975F9B"/>
    <w:rsid w:val="009815AE"/>
    <w:rsid w:val="009815E0"/>
    <w:rsid w:val="00981676"/>
    <w:rsid w:val="0098177E"/>
    <w:rsid w:val="009821D8"/>
    <w:rsid w:val="009825B3"/>
    <w:rsid w:val="00982DCE"/>
    <w:rsid w:val="009831C4"/>
    <w:rsid w:val="00990AA6"/>
    <w:rsid w:val="009916E0"/>
    <w:rsid w:val="00991754"/>
    <w:rsid w:val="00991DB1"/>
    <w:rsid w:val="00992133"/>
    <w:rsid w:val="009935C2"/>
    <w:rsid w:val="0099467C"/>
    <w:rsid w:val="00994C6A"/>
    <w:rsid w:val="00995235"/>
    <w:rsid w:val="00995A99"/>
    <w:rsid w:val="009967E4"/>
    <w:rsid w:val="00997499"/>
    <w:rsid w:val="00997614"/>
    <w:rsid w:val="00997BC5"/>
    <w:rsid w:val="009A0036"/>
    <w:rsid w:val="009A194A"/>
    <w:rsid w:val="009A1CA8"/>
    <w:rsid w:val="009A2256"/>
    <w:rsid w:val="009A2A9D"/>
    <w:rsid w:val="009A2C65"/>
    <w:rsid w:val="009A329B"/>
    <w:rsid w:val="009A4575"/>
    <w:rsid w:val="009A7EEF"/>
    <w:rsid w:val="009B0102"/>
    <w:rsid w:val="009B01B4"/>
    <w:rsid w:val="009B06D5"/>
    <w:rsid w:val="009B1FC5"/>
    <w:rsid w:val="009B220F"/>
    <w:rsid w:val="009B30CF"/>
    <w:rsid w:val="009B3B62"/>
    <w:rsid w:val="009B488B"/>
    <w:rsid w:val="009B575A"/>
    <w:rsid w:val="009B7F08"/>
    <w:rsid w:val="009C0688"/>
    <w:rsid w:val="009C24EE"/>
    <w:rsid w:val="009C2BDA"/>
    <w:rsid w:val="009C30B2"/>
    <w:rsid w:val="009C3EBD"/>
    <w:rsid w:val="009C4760"/>
    <w:rsid w:val="009C5C8C"/>
    <w:rsid w:val="009C5D35"/>
    <w:rsid w:val="009C62F4"/>
    <w:rsid w:val="009C6D13"/>
    <w:rsid w:val="009C7BD0"/>
    <w:rsid w:val="009D07DC"/>
    <w:rsid w:val="009D25E1"/>
    <w:rsid w:val="009D2AC6"/>
    <w:rsid w:val="009D30E4"/>
    <w:rsid w:val="009D3821"/>
    <w:rsid w:val="009D3845"/>
    <w:rsid w:val="009D5FD1"/>
    <w:rsid w:val="009D78F8"/>
    <w:rsid w:val="009D7CE5"/>
    <w:rsid w:val="009E2E52"/>
    <w:rsid w:val="009E36A4"/>
    <w:rsid w:val="009E3D95"/>
    <w:rsid w:val="009E5B50"/>
    <w:rsid w:val="009E6E3B"/>
    <w:rsid w:val="009E732D"/>
    <w:rsid w:val="009E756A"/>
    <w:rsid w:val="009F0140"/>
    <w:rsid w:val="009F05D2"/>
    <w:rsid w:val="009F0837"/>
    <w:rsid w:val="009F0874"/>
    <w:rsid w:val="009F3F92"/>
    <w:rsid w:val="009F4BE5"/>
    <w:rsid w:val="009F5A17"/>
    <w:rsid w:val="00A01FBD"/>
    <w:rsid w:val="00A021C1"/>
    <w:rsid w:val="00A02FAD"/>
    <w:rsid w:val="00A02FD2"/>
    <w:rsid w:val="00A035A9"/>
    <w:rsid w:val="00A0546B"/>
    <w:rsid w:val="00A05B7B"/>
    <w:rsid w:val="00A071FA"/>
    <w:rsid w:val="00A07DEA"/>
    <w:rsid w:val="00A103CB"/>
    <w:rsid w:val="00A103E3"/>
    <w:rsid w:val="00A10987"/>
    <w:rsid w:val="00A1199C"/>
    <w:rsid w:val="00A120EA"/>
    <w:rsid w:val="00A13714"/>
    <w:rsid w:val="00A156DB"/>
    <w:rsid w:val="00A1778F"/>
    <w:rsid w:val="00A2057A"/>
    <w:rsid w:val="00A2086A"/>
    <w:rsid w:val="00A21827"/>
    <w:rsid w:val="00A21BDE"/>
    <w:rsid w:val="00A229FE"/>
    <w:rsid w:val="00A24E97"/>
    <w:rsid w:val="00A25440"/>
    <w:rsid w:val="00A25C81"/>
    <w:rsid w:val="00A26217"/>
    <w:rsid w:val="00A26532"/>
    <w:rsid w:val="00A26835"/>
    <w:rsid w:val="00A27F41"/>
    <w:rsid w:val="00A31315"/>
    <w:rsid w:val="00A3265D"/>
    <w:rsid w:val="00A34168"/>
    <w:rsid w:val="00A3436E"/>
    <w:rsid w:val="00A378C3"/>
    <w:rsid w:val="00A37CF9"/>
    <w:rsid w:val="00A404AB"/>
    <w:rsid w:val="00A4055F"/>
    <w:rsid w:val="00A43C81"/>
    <w:rsid w:val="00A472DC"/>
    <w:rsid w:val="00A50AA2"/>
    <w:rsid w:val="00A50CEA"/>
    <w:rsid w:val="00A511D8"/>
    <w:rsid w:val="00A52F17"/>
    <w:rsid w:val="00A53698"/>
    <w:rsid w:val="00A5475B"/>
    <w:rsid w:val="00A54C31"/>
    <w:rsid w:val="00A55BFA"/>
    <w:rsid w:val="00A56D01"/>
    <w:rsid w:val="00A57189"/>
    <w:rsid w:val="00A6050B"/>
    <w:rsid w:val="00A613EA"/>
    <w:rsid w:val="00A61C7E"/>
    <w:rsid w:val="00A62A26"/>
    <w:rsid w:val="00A634E4"/>
    <w:rsid w:val="00A641A0"/>
    <w:rsid w:val="00A65085"/>
    <w:rsid w:val="00A66B61"/>
    <w:rsid w:val="00A66ECF"/>
    <w:rsid w:val="00A67A0A"/>
    <w:rsid w:val="00A700AC"/>
    <w:rsid w:val="00A706FE"/>
    <w:rsid w:val="00A7198E"/>
    <w:rsid w:val="00A72436"/>
    <w:rsid w:val="00A741C8"/>
    <w:rsid w:val="00A742BB"/>
    <w:rsid w:val="00A7464E"/>
    <w:rsid w:val="00A75DE7"/>
    <w:rsid w:val="00A76B85"/>
    <w:rsid w:val="00A7704C"/>
    <w:rsid w:val="00A8007F"/>
    <w:rsid w:val="00A808CE"/>
    <w:rsid w:val="00A816EB"/>
    <w:rsid w:val="00A83596"/>
    <w:rsid w:val="00A83F29"/>
    <w:rsid w:val="00A84F24"/>
    <w:rsid w:val="00A85D45"/>
    <w:rsid w:val="00A861CF"/>
    <w:rsid w:val="00A868F7"/>
    <w:rsid w:val="00A87248"/>
    <w:rsid w:val="00A87A7D"/>
    <w:rsid w:val="00A90150"/>
    <w:rsid w:val="00A91038"/>
    <w:rsid w:val="00A91836"/>
    <w:rsid w:val="00A9183C"/>
    <w:rsid w:val="00A93A49"/>
    <w:rsid w:val="00A93C1D"/>
    <w:rsid w:val="00A93C2F"/>
    <w:rsid w:val="00A9446C"/>
    <w:rsid w:val="00A9475E"/>
    <w:rsid w:val="00A94951"/>
    <w:rsid w:val="00A94D1C"/>
    <w:rsid w:val="00A951E5"/>
    <w:rsid w:val="00A95674"/>
    <w:rsid w:val="00A958B4"/>
    <w:rsid w:val="00A96764"/>
    <w:rsid w:val="00A9721B"/>
    <w:rsid w:val="00A974FE"/>
    <w:rsid w:val="00A97AA1"/>
    <w:rsid w:val="00AA3247"/>
    <w:rsid w:val="00AA452B"/>
    <w:rsid w:val="00AA4760"/>
    <w:rsid w:val="00AA4B41"/>
    <w:rsid w:val="00AA5269"/>
    <w:rsid w:val="00AA567B"/>
    <w:rsid w:val="00AA5B3D"/>
    <w:rsid w:val="00AA66B6"/>
    <w:rsid w:val="00AB09AB"/>
    <w:rsid w:val="00AB1AB5"/>
    <w:rsid w:val="00AB3FA4"/>
    <w:rsid w:val="00AB5B9A"/>
    <w:rsid w:val="00AB5ED3"/>
    <w:rsid w:val="00AB6385"/>
    <w:rsid w:val="00AB7590"/>
    <w:rsid w:val="00AB7D61"/>
    <w:rsid w:val="00AC02F7"/>
    <w:rsid w:val="00AC2119"/>
    <w:rsid w:val="00AC2232"/>
    <w:rsid w:val="00AC3115"/>
    <w:rsid w:val="00AC3AA1"/>
    <w:rsid w:val="00AC499F"/>
    <w:rsid w:val="00AC58F1"/>
    <w:rsid w:val="00AC5C38"/>
    <w:rsid w:val="00AC724A"/>
    <w:rsid w:val="00AD0645"/>
    <w:rsid w:val="00AD3BCC"/>
    <w:rsid w:val="00AD596F"/>
    <w:rsid w:val="00AD610B"/>
    <w:rsid w:val="00AD61A9"/>
    <w:rsid w:val="00AD6798"/>
    <w:rsid w:val="00AD684D"/>
    <w:rsid w:val="00AD6FCB"/>
    <w:rsid w:val="00AD7255"/>
    <w:rsid w:val="00AD7A6D"/>
    <w:rsid w:val="00AE223B"/>
    <w:rsid w:val="00AE23AF"/>
    <w:rsid w:val="00AE248D"/>
    <w:rsid w:val="00AE3B0B"/>
    <w:rsid w:val="00AE55EF"/>
    <w:rsid w:val="00AE6E4C"/>
    <w:rsid w:val="00AF06B7"/>
    <w:rsid w:val="00AF3CCD"/>
    <w:rsid w:val="00AF5321"/>
    <w:rsid w:val="00AF5867"/>
    <w:rsid w:val="00AF68AD"/>
    <w:rsid w:val="00AF6D87"/>
    <w:rsid w:val="00AF7439"/>
    <w:rsid w:val="00AF7A01"/>
    <w:rsid w:val="00B01E3D"/>
    <w:rsid w:val="00B03C06"/>
    <w:rsid w:val="00B03FD4"/>
    <w:rsid w:val="00B044FA"/>
    <w:rsid w:val="00B04F10"/>
    <w:rsid w:val="00B05A6B"/>
    <w:rsid w:val="00B102BA"/>
    <w:rsid w:val="00B11961"/>
    <w:rsid w:val="00B123C6"/>
    <w:rsid w:val="00B12BA9"/>
    <w:rsid w:val="00B1311A"/>
    <w:rsid w:val="00B13213"/>
    <w:rsid w:val="00B14301"/>
    <w:rsid w:val="00B159EB"/>
    <w:rsid w:val="00B15E39"/>
    <w:rsid w:val="00B16066"/>
    <w:rsid w:val="00B17646"/>
    <w:rsid w:val="00B178B8"/>
    <w:rsid w:val="00B20A36"/>
    <w:rsid w:val="00B20DE9"/>
    <w:rsid w:val="00B22350"/>
    <w:rsid w:val="00B22725"/>
    <w:rsid w:val="00B24227"/>
    <w:rsid w:val="00B24994"/>
    <w:rsid w:val="00B2564A"/>
    <w:rsid w:val="00B27B85"/>
    <w:rsid w:val="00B27CBA"/>
    <w:rsid w:val="00B3122B"/>
    <w:rsid w:val="00B31D63"/>
    <w:rsid w:val="00B32EBE"/>
    <w:rsid w:val="00B33946"/>
    <w:rsid w:val="00B33B4B"/>
    <w:rsid w:val="00B34106"/>
    <w:rsid w:val="00B35A9F"/>
    <w:rsid w:val="00B36E1D"/>
    <w:rsid w:val="00B372C9"/>
    <w:rsid w:val="00B42227"/>
    <w:rsid w:val="00B4246A"/>
    <w:rsid w:val="00B425A3"/>
    <w:rsid w:val="00B44172"/>
    <w:rsid w:val="00B458E1"/>
    <w:rsid w:val="00B47854"/>
    <w:rsid w:val="00B478DC"/>
    <w:rsid w:val="00B50D0F"/>
    <w:rsid w:val="00B517BC"/>
    <w:rsid w:val="00B51982"/>
    <w:rsid w:val="00B5284F"/>
    <w:rsid w:val="00B55E1A"/>
    <w:rsid w:val="00B576F9"/>
    <w:rsid w:val="00B602A4"/>
    <w:rsid w:val="00B60A39"/>
    <w:rsid w:val="00B61D42"/>
    <w:rsid w:val="00B62084"/>
    <w:rsid w:val="00B62170"/>
    <w:rsid w:val="00B626CF"/>
    <w:rsid w:val="00B62754"/>
    <w:rsid w:val="00B63C05"/>
    <w:rsid w:val="00B63DF1"/>
    <w:rsid w:val="00B65833"/>
    <w:rsid w:val="00B658C4"/>
    <w:rsid w:val="00B661EC"/>
    <w:rsid w:val="00B67C7A"/>
    <w:rsid w:val="00B71AAD"/>
    <w:rsid w:val="00B71FA7"/>
    <w:rsid w:val="00B72A55"/>
    <w:rsid w:val="00B74336"/>
    <w:rsid w:val="00B74E95"/>
    <w:rsid w:val="00B75554"/>
    <w:rsid w:val="00B75B37"/>
    <w:rsid w:val="00B76139"/>
    <w:rsid w:val="00B76B48"/>
    <w:rsid w:val="00B76B6C"/>
    <w:rsid w:val="00B82371"/>
    <w:rsid w:val="00B82379"/>
    <w:rsid w:val="00B82485"/>
    <w:rsid w:val="00B83269"/>
    <w:rsid w:val="00B83B99"/>
    <w:rsid w:val="00B83BBF"/>
    <w:rsid w:val="00B83D67"/>
    <w:rsid w:val="00B84A89"/>
    <w:rsid w:val="00B84D29"/>
    <w:rsid w:val="00B85B51"/>
    <w:rsid w:val="00B865F6"/>
    <w:rsid w:val="00B86941"/>
    <w:rsid w:val="00B87225"/>
    <w:rsid w:val="00B873E3"/>
    <w:rsid w:val="00B87C6E"/>
    <w:rsid w:val="00B90629"/>
    <w:rsid w:val="00B916DB"/>
    <w:rsid w:val="00B92008"/>
    <w:rsid w:val="00B92614"/>
    <w:rsid w:val="00B93F39"/>
    <w:rsid w:val="00B942F4"/>
    <w:rsid w:val="00B94F9B"/>
    <w:rsid w:val="00B96588"/>
    <w:rsid w:val="00B967FF"/>
    <w:rsid w:val="00BA1200"/>
    <w:rsid w:val="00BA3C82"/>
    <w:rsid w:val="00BA45CD"/>
    <w:rsid w:val="00BA4D3C"/>
    <w:rsid w:val="00BA5E38"/>
    <w:rsid w:val="00BB02B6"/>
    <w:rsid w:val="00BB0713"/>
    <w:rsid w:val="00BB2563"/>
    <w:rsid w:val="00BB2DE9"/>
    <w:rsid w:val="00BB3212"/>
    <w:rsid w:val="00BB341E"/>
    <w:rsid w:val="00BB3642"/>
    <w:rsid w:val="00BB3656"/>
    <w:rsid w:val="00BB4E8A"/>
    <w:rsid w:val="00BB5CC4"/>
    <w:rsid w:val="00BB7825"/>
    <w:rsid w:val="00BB7C85"/>
    <w:rsid w:val="00BC03B0"/>
    <w:rsid w:val="00BC0779"/>
    <w:rsid w:val="00BC0BA6"/>
    <w:rsid w:val="00BC0DF6"/>
    <w:rsid w:val="00BC0FA0"/>
    <w:rsid w:val="00BC2B61"/>
    <w:rsid w:val="00BC388E"/>
    <w:rsid w:val="00BC42DA"/>
    <w:rsid w:val="00BC4DB1"/>
    <w:rsid w:val="00BC6FBB"/>
    <w:rsid w:val="00BC742E"/>
    <w:rsid w:val="00BC7835"/>
    <w:rsid w:val="00BC7B9C"/>
    <w:rsid w:val="00BC7E6F"/>
    <w:rsid w:val="00BD08C3"/>
    <w:rsid w:val="00BD1576"/>
    <w:rsid w:val="00BD3FD1"/>
    <w:rsid w:val="00BD41A3"/>
    <w:rsid w:val="00BD4541"/>
    <w:rsid w:val="00BD4581"/>
    <w:rsid w:val="00BE092A"/>
    <w:rsid w:val="00BE0EA4"/>
    <w:rsid w:val="00BE1CBD"/>
    <w:rsid w:val="00BE3B52"/>
    <w:rsid w:val="00BE404C"/>
    <w:rsid w:val="00BE5AB9"/>
    <w:rsid w:val="00BE68BF"/>
    <w:rsid w:val="00BE6CD3"/>
    <w:rsid w:val="00BE6D60"/>
    <w:rsid w:val="00BE7C74"/>
    <w:rsid w:val="00BF0510"/>
    <w:rsid w:val="00BF12D0"/>
    <w:rsid w:val="00BF221C"/>
    <w:rsid w:val="00BF282C"/>
    <w:rsid w:val="00BF575B"/>
    <w:rsid w:val="00BF6496"/>
    <w:rsid w:val="00BF6C09"/>
    <w:rsid w:val="00BF7578"/>
    <w:rsid w:val="00C015A3"/>
    <w:rsid w:val="00C0170B"/>
    <w:rsid w:val="00C027FF"/>
    <w:rsid w:val="00C03784"/>
    <w:rsid w:val="00C03CA7"/>
    <w:rsid w:val="00C04492"/>
    <w:rsid w:val="00C04CC7"/>
    <w:rsid w:val="00C04F0B"/>
    <w:rsid w:val="00C0624D"/>
    <w:rsid w:val="00C1018F"/>
    <w:rsid w:val="00C10966"/>
    <w:rsid w:val="00C134E2"/>
    <w:rsid w:val="00C136EB"/>
    <w:rsid w:val="00C13D90"/>
    <w:rsid w:val="00C14746"/>
    <w:rsid w:val="00C164BC"/>
    <w:rsid w:val="00C20FE2"/>
    <w:rsid w:val="00C22563"/>
    <w:rsid w:val="00C234E5"/>
    <w:rsid w:val="00C239E7"/>
    <w:rsid w:val="00C23EA1"/>
    <w:rsid w:val="00C240C3"/>
    <w:rsid w:val="00C2484F"/>
    <w:rsid w:val="00C27F12"/>
    <w:rsid w:val="00C30CA1"/>
    <w:rsid w:val="00C31DBA"/>
    <w:rsid w:val="00C31EBE"/>
    <w:rsid w:val="00C35821"/>
    <w:rsid w:val="00C36DC2"/>
    <w:rsid w:val="00C37FBA"/>
    <w:rsid w:val="00C408CE"/>
    <w:rsid w:val="00C42DF9"/>
    <w:rsid w:val="00C44E45"/>
    <w:rsid w:val="00C46110"/>
    <w:rsid w:val="00C474CF"/>
    <w:rsid w:val="00C50C87"/>
    <w:rsid w:val="00C50D16"/>
    <w:rsid w:val="00C52335"/>
    <w:rsid w:val="00C52707"/>
    <w:rsid w:val="00C529A5"/>
    <w:rsid w:val="00C52A7B"/>
    <w:rsid w:val="00C52C67"/>
    <w:rsid w:val="00C52E13"/>
    <w:rsid w:val="00C53310"/>
    <w:rsid w:val="00C53D0B"/>
    <w:rsid w:val="00C53F41"/>
    <w:rsid w:val="00C54C2A"/>
    <w:rsid w:val="00C55009"/>
    <w:rsid w:val="00C5512C"/>
    <w:rsid w:val="00C5513E"/>
    <w:rsid w:val="00C55284"/>
    <w:rsid w:val="00C55E62"/>
    <w:rsid w:val="00C56CD2"/>
    <w:rsid w:val="00C57591"/>
    <w:rsid w:val="00C61D40"/>
    <w:rsid w:val="00C6216B"/>
    <w:rsid w:val="00C624A2"/>
    <w:rsid w:val="00C64E7A"/>
    <w:rsid w:val="00C6542A"/>
    <w:rsid w:val="00C65776"/>
    <w:rsid w:val="00C657D4"/>
    <w:rsid w:val="00C66ACA"/>
    <w:rsid w:val="00C70586"/>
    <w:rsid w:val="00C718DF"/>
    <w:rsid w:val="00C757D3"/>
    <w:rsid w:val="00C75C0B"/>
    <w:rsid w:val="00C75C2D"/>
    <w:rsid w:val="00C75E5E"/>
    <w:rsid w:val="00C77FBE"/>
    <w:rsid w:val="00C805E5"/>
    <w:rsid w:val="00C8256B"/>
    <w:rsid w:val="00C83B15"/>
    <w:rsid w:val="00C8471A"/>
    <w:rsid w:val="00C84ED3"/>
    <w:rsid w:val="00C86854"/>
    <w:rsid w:val="00C8699A"/>
    <w:rsid w:val="00C86A72"/>
    <w:rsid w:val="00C86EB4"/>
    <w:rsid w:val="00C87253"/>
    <w:rsid w:val="00C90FEA"/>
    <w:rsid w:val="00C918CD"/>
    <w:rsid w:val="00C9193C"/>
    <w:rsid w:val="00C922D8"/>
    <w:rsid w:val="00C93D67"/>
    <w:rsid w:val="00C93F5F"/>
    <w:rsid w:val="00C944AF"/>
    <w:rsid w:val="00C946FF"/>
    <w:rsid w:val="00C94864"/>
    <w:rsid w:val="00C94F47"/>
    <w:rsid w:val="00C95361"/>
    <w:rsid w:val="00CA0017"/>
    <w:rsid w:val="00CA036D"/>
    <w:rsid w:val="00CA4685"/>
    <w:rsid w:val="00CA4812"/>
    <w:rsid w:val="00CA57A7"/>
    <w:rsid w:val="00CA6255"/>
    <w:rsid w:val="00CB190D"/>
    <w:rsid w:val="00CB3814"/>
    <w:rsid w:val="00CB44BB"/>
    <w:rsid w:val="00CB4A2E"/>
    <w:rsid w:val="00CB5500"/>
    <w:rsid w:val="00CB6EAB"/>
    <w:rsid w:val="00CB72AC"/>
    <w:rsid w:val="00CC00DF"/>
    <w:rsid w:val="00CC0D1F"/>
    <w:rsid w:val="00CC0F63"/>
    <w:rsid w:val="00CC331C"/>
    <w:rsid w:val="00CC4653"/>
    <w:rsid w:val="00CD0CCA"/>
    <w:rsid w:val="00CD1023"/>
    <w:rsid w:val="00CD3D9D"/>
    <w:rsid w:val="00CD5C6E"/>
    <w:rsid w:val="00CE0148"/>
    <w:rsid w:val="00CE19C5"/>
    <w:rsid w:val="00CE3942"/>
    <w:rsid w:val="00CE43D1"/>
    <w:rsid w:val="00CE492D"/>
    <w:rsid w:val="00CE5DF9"/>
    <w:rsid w:val="00CE74DF"/>
    <w:rsid w:val="00CE78B7"/>
    <w:rsid w:val="00CF06D2"/>
    <w:rsid w:val="00CF192E"/>
    <w:rsid w:val="00CF29EC"/>
    <w:rsid w:val="00CF332E"/>
    <w:rsid w:val="00CF3529"/>
    <w:rsid w:val="00CF3C8D"/>
    <w:rsid w:val="00CF46E5"/>
    <w:rsid w:val="00CF4D5A"/>
    <w:rsid w:val="00CF503A"/>
    <w:rsid w:val="00CF6B64"/>
    <w:rsid w:val="00CF6B6B"/>
    <w:rsid w:val="00D00529"/>
    <w:rsid w:val="00D006C4"/>
    <w:rsid w:val="00D00811"/>
    <w:rsid w:val="00D02A73"/>
    <w:rsid w:val="00D04944"/>
    <w:rsid w:val="00D05CA6"/>
    <w:rsid w:val="00D05DF7"/>
    <w:rsid w:val="00D06CA6"/>
    <w:rsid w:val="00D0725F"/>
    <w:rsid w:val="00D075EB"/>
    <w:rsid w:val="00D115A5"/>
    <w:rsid w:val="00D11735"/>
    <w:rsid w:val="00D13736"/>
    <w:rsid w:val="00D14A19"/>
    <w:rsid w:val="00D162D4"/>
    <w:rsid w:val="00D20C8C"/>
    <w:rsid w:val="00D2170C"/>
    <w:rsid w:val="00D21BE2"/>
    <w:rsid w:val="00D220F1"/>
    <w:rsid w:val="00D222A6"/>
    <w:rsid w:val="00D230B0"/>
    <w:rsid w:val="00D23829"/>
    <w:rsid w:val="00D24D43"/>
    <w:rsid w:val="00D24E95"/>
    <w:rsid w:val="00D258D9"/>
    <w:rsid w:val="00D26D6C"/>
    <w:rsid w:val="00D26E6D"/>
    <w:rsid w:val="00D27D6F"/>
    <w:rsid w:val="00D30335"/>
    <w:rsid w:val="00D30E81"/>
    <w:rsid w:val="00D316B0"/>
    <w:rsid w:val="00D333B0"/>
    <w:rsid w:val="00D351CC"/>
    <w:rsid w:val="00D35871"/>
    <w:rsid w:val="00D35CB3"/>
    <w:rsid w:val="00D36CD5"/>
    <w:rsid w:val="00D37E9A"/>
    <w:rsid w:val="00D4186B"/>
    <w:rsid w:val="00D42EB7"/>
    <w:rsid w:val="00D43EBF"/>
    <w:rsid w:val="00D45FDA"/>
    <w:rsid w:val="00D46F25"/>
    <w:rsid w:val="00D47908"/>
    <w:rsid w:val="00D5176E"/>
    <w:rsid w:val="00D51F9A"/>
    <w:rsid w:val="00D5260A"/>
    <w:rsid w:val="00D52795"/>
    <w:rsid w:val="00D548B0"/>
    <w:rsid w:val="00D56855"/>
    <w:rsid w:val="00D56F8A"/>
    <w:rsid w:val="00D601D8"/>
    <w:rsid w:val="00D61249"/>
    <w:rsid w:val="00D619E8"/>
    <w:rsid w:val="00D63049"/>
    <w:rsid w:val="00D6343C"/>
    <w:rsid w:val="00D63693"/>
    <w:rsid w:val="00D63712"/>
    <w:rsid w:val="00D6386C"/>
    <w:rsid w:val="00D63A99"/>
    <w:rsid w:val="00D660B4"/>
    <w:rsid w:val="00D71831"/>
    <w:rsid w:val="00D71C2F"/>
    <w:rsid w:val="00D71C9F"/>
    <w:rsid w:val="00D72B69"/>
    <w:rsid w:val="00D72CBC"/>
    <w:rsid w:val="00D73A31"/>
    <w:rsid w:val="00D75349"/>
    <w:rsid w:val="00D75526"/>
    <w:rsid w:val="00D75FC9"/>
    <w:rsid w:val="00D773FA"/>
    <w:rsid w:val="00D7775A"/>
    <w:rsid w:val="00D77AC6"/>
    <w:rsid w:val="00D80B99"/>
    <w:rsid w:val="00D81EBA"/>
    <w:rsid w:val="00D82264"/>
    <w:rsid w:val="00D832BE"/>
    <w:rsid w:val="00D835A4"/>
    <w:rsid w:val="00D8427E"/>
    <w:rsid w:val="00D84561"/>
    <w:rsid w:val="00D85A1A"/>
    <w:rsid w:val="00D85E93"/>
    <w:rsid w:val="00D8639E"/>
    <w:rsid w:val="00D867BB"/>
    <w:rsid w:val="00D92785"/>
    <w:rsid w:val="00D939E5"/>
    <w:rsid w:val="00D96CC7"/>
    <w:rsid w:val="00D96D31"/>
    <w:rsid w:val="00D96DB1"/>
    <w:rsid w:val="00D9700B"/>
    <w:rsid w:val="00DA0491"/>
    <w:rsid w:val="00DA19A5"/>
    <w:rsid w:val="00DA27E2"/>
    <w:rsid w:val="00DA281D"/>
    <w:rsid w:val="00DA2E06"/>
    <w:rsid w:val="00DA2EF6"/>
    <w:rsid w:val="00DA2FBC"/>
    <w:rsid w:val="00DA3396"/>
    <w:rsid w:val="00DA4526"/>
    <w:rsid w:val="00DA4910"/>
    <w:rsid w:val="00DA4936"/>
    <w:rsid w:val="00DA67D4"/>
    <w:rsid w:val="00DA7A75"/>
    <w:rsid w:val="00DB049B"/>
    <w:rsid w:val="00DB070D"/>
    <w:rsid w:val="00DB08A5"/>
    <w:rsid w:val="00DB0C9E"/>
    <w:rsid w:val="00DB0F6F"/>
    <w:rsid w:val="00DB389B"/>
    <w:rsid w:val="00DB4510"/>
    <w:rsid w:val="00DB540F"/>
    <w:rsid w:val="00DB6B4F"/>
    <w:rsid w:val="00DB6DB9"/>
    <w:rsid w:val="00DB714A"/>
    <w:rsid w:val="00DB7CF1"/>
    <w:rsid w:val="00DC115A"/>
    <w:rsid w:val="00DC2FA7"/>
    <w:rsid w:val="00DC4D58"/>
    <w:rsid w:val="00DC4EB2"/>
    <w:rsid w:val="00DC5604"/>
    <w:rsid w:val="00DC575C"/>
    <w:rsid w:val="00DC6D41"/>
    <w:rsid w:val="00DC777C"/>
    <w:rsid w:val="00DD21B0"/>
    <w:rsid w:val="00DD25A8"/>
    <w:rsid w:val="00DD4694"/>
    <w:rsid w:val="00DD53A2"/>
    <w:rsid w:val="00DD6322"/>
    <w:rsid w:val="00DD75F1"/>
    <w:rsid w:val="00DE191D"/>
    <w:rsid w:val="00DE1C00"/>
    <w:rsid w:val="00DE32B2"/>
    <w:rsid w:val="00DE3C3F"/>
    <w:rsid w:val="00DE3F0B"/>
    <w:rsid w:val="00DE48C5"/>
    <w:rsid w:val="00DE6410"/>
    <w:rsid w:val="00DE6F38"/>
    <w:rsid w:val="00DF19F1"/>
    <w:rsid w:val="00DF276E"/>
    <w:rsid w:val="00DF2E01"/>
    <w:rsid w:val="00DF392F"/>
    <w:rsid w:val="00DF3A91"/>
    <w:rsid w:val="00DF4618"/>
    <w:rsid w:val="00DF4DDD"/>
    <w:rsid w:val="00DF4E73"/>
    <w:rsid w:val="00DF6055"/>
    <w:rsid w:val="00DF66F6"/>
    <w:rsid w:val="00DF6C85"/>
    <w:rsid w:val="00DF74D7"/>
    <w:rsid w:val="00E00B9E"/>
    <w:rsid w:val="00E011E3"/>
    <w:rsid w:val="00E01581"/>
    <w:rsid w:val="00E019FA"/>
    <w:rsid w:val="00E01F43"/>
    <w:rsid w:val="00E027DB"/>
    <w:rsid w:val="00E03BCF"/>
    <w:rsid w:val="00E058B9"/>
    <w:rsid w:val="00E05A59"/>
    <w:rsid w:val="00E0713D"/>
    <w:rsid w:val="00E076A2"/>
    <w:rsid w:val="00E11DFA"/>
    <w:rsid w:val="00E11FC2"/>
    <w:rsid w:val="00E12C31"/>
    <w:rsid w:val="00E137E5"/>
    <w:rsid w:val="00E13805"/>
    <w:rsid w:val="00E13DC6"/>
    <w:rsid w:val="00E15656"/>
    <w:rsid w:val="00E158BE"/>
    <w:rsid w:val="00E16AF1"/>
    <w:rsid w:val="00E17388"/>
    <w:rsid w:val="00E20B3B"/>
    <w:rsid w:val="00E234DB"/>
    <w:rsid w:val="00E2523D"/>
    <w:rsid w:val="00E259A5"/>
    <w:rsid w:val="00E26026"/>
    <w:rsid w:val="00E27D61"/>
    <w:rsid w:val="00E27D66"/>
    <w:rsid w:val="00E30937"/>
    <w:rsid w:val="00E30B81"/>
    <w:rsid w:val="00E30C6E"/>
    <w:rsid w:val="00E32634"/>
    <w:rsid w:val="00E3540A"/>
    <w:rsid w:val="00E35AED"/>
    <w:rsid w:val="00E36AA1"/>
    <w:rsid w:val="00E36B54"/>
    <w:rsid w:val="00E36FC7"/>
    <w:rsid w:val="00E37384"/>
    <w:rsid w:val="00E409D5"/>
    <w:rsid w:val="00E4227E"/>
    <w:rsid w:val="00E43948"/>
    <w:rsid w:val="00E43951"/>
    <w:rsid w:val="00E4413D"/>
    <w:rsid w:val="00E447AF"/>
    <w:rsid w:val="00E4496C"/>
    <w:rsid w:val="00E45587"/>
    <w:rsid w:val="00E45BB2"/>
    <w:rsid w:val="00E46C05"/>
    <w:rsid w:val="00E46FEF"/>
    <w:rsid w:val="00E47950"/>
    <w:rsid w:val="00E5084F"/>
    <w:rsid w:val="00E50E9B"/>
    <w:rsid w:val="00E526C2"/>
    <w:rsid w:val="00E53139"/>
    <w:rsid w:val="00E55382"/>
    <w:rsid w:val="00E553F8"/>
    <w:rsid w:val="00E56A45"/>
    <w:rsid w:val="00E577FA"/>
    <w:rsid w:val="00E57A15"/>
    <w:rsid w:val="00E619A9"/>
    <w:rsid w:val="00E63015"/>
    <w:rsid w:val="00E635A8"/>
    <w:rsid w:val="00E650BB"/>
    <w:rsid w:val="00E67A3D"/>
    <w:rsid w:val="00E67EF4"/>
    <w:rsid w:val="00E70AE3"/>
    <w:rsid w:val="00E70DA7"/>
    <w:rsid w:val="00E71D3E"/>
    <w:rsid w:val="00E73005"/>
    <w:rsid w:val="00E73492"/>
    <w:rsid w:val="00E73998"/>
    <w:rsid w:val="00E73EF7"/>
    <w:rsid w:val="00E7627B"/>
    <w:rsid w:val="00E77ADF"/>
    <w:rsid w:val="00E80168"/>
    <w:rsid w:val="00E80782"/>
    <w:rsid w:val="00E82565"/>
    <w:rsid w:val="00E835D7"/>
    <w:rsid w:val="00E836F4"/>
    <w:rsid w:val="00E841DD"/>
    <w:rsid w:val="00E869E9"/>
    <w:rsid w:val="00E87243"/>
    <w:rsid w:val="00E90034"/>
    <w:rsid w:val="00E91ACF"/>
    <w:rsid w:val="00E91D1D"/>
    <w:rsid w:val="00E93BE9"/>
    <w:rsid w:val="00E95311"/>
    <w:rsid w:val="00E95F92"/>
    <w:rsid w:val="00E975BC"/>
    <w:rsid w:val="00E97771"/>
    <w:rsid w:val="00EA2916"/>
    <w:rsid w:val="00EA2CBE"/>
    <w:rsid w:val="00EA3814"/>
    <w:rsid w:val="00EA416F"/>
    <w:rsid w:val="00EA4C7C"/>
    <w:rsid w:val="00EA596B"/>
    <w:rsid w:val="00EA5A05"/>
    <w:rsid w:val="00EA661F"/>
    <w:rsid w:val="00EB0FB2"/>
    <w:rsid w:val="00EB2600"/>
    <w:rsid w:val="00EB261A"/>
    <w:rsid w:val="00EB284A"/>
    <w:rsid w:val="00EB2C13"/>
    <w:rsid w:val="00EB673B"/>
    <w:rsid w:val="00EB6ABB"/>
    <w:rsid w:val="00EB7CF4"/>
    <w:rsid w:val="00EC03F5"/>
    <w:rsid w:val="00EC099E"/>
    <w:rsid w:val="00EC106D"/>
    <w:rsid w:val="00EC268D"/>
    <w:rsid w:val="00EC342A"/>
    <w:rsid w:val="00EC36A0"/>
    <w:rsid w:val="00EC3815"/>
    <w:rsid w:val="00EC3975"/>
    <w:rsid w:val="00EC4547"/>
    <w:rsid w:val="00EC5946"/>
    <w:rsid w:val="00EC59E9"/>
    <w:rsid w:val="00EC5EE3"/>
    <w:rsid w:val="00EC6FAE"/>
    <w:rsid w:val="00ED3728"/>
    <w:rsid w:val="00ED450D"/>
    <w:rsid w:val="00ED5281"/>
    <w:rsid w:val="00ED5DBA"/>
    <w:rsid w:val="00EE0B54"/>
    <w:rsid w:val="00EE1515"/>
    <w:rsid w:val="00EE1559"/>
    <w:rsid w:val="00EE205F"/>
    <w:rsid w:val="00EE58B4"/>
    <w:rsid w:val="00EE7156"/>
    <w:rsid w:val="00EE75F8"/>
    <w:rsid w:val="00EF0580"/>
    <w:rsid w:val="00EF1A60"/>
    <w:rsid w:val="00EF2029"/>
    <w:rsid w:val="00EF29B9"/>
    <w:rsid w:val="00EF3276"/>
    <w:rsid w:val="00EF4214"/>
    <w:rsid w:val="00EF7EC2"/>
    <w:rsid w:val="00EF7F1D"/>
    <w:rsid w:val="00F00812"/>
    <w:rsid w:val="00F00FD5"/>
    <w:rsid w:val="00F021D0"/>
    <w:rsid w:val="00F027AD"/>
    <w:rsid w:val="00F03D8D"/>
    <w:rsid w:val="00F03FDF"/>
    <w:rsid w:val="00F04DCB"/>
    <w:rsid w:val="00F04E8D"/>
    <w:rsid w:val="00F05B36"/>
    <w:rsid w:val="00F0694C"/>
    <w:rsid w:val="00F06B2A"/>
    <w:rsid w:val="00F10892"/>
    <w:rsid w:val="00F109AD"/>
    <w:rsid w:val="00F13F63"/>
    <w:rsid w:val="00F14C2F"/>
    <w:rsid w:val="00F169B3"/>
    <w:rsid w:val="00F172E4"/>
    <w:rsid w:val="00F20536"/>
    <w:rsid w:val="00F21010"/>
    <w:rsid w:val="00F2178A"/>
    <w:rsid w:val="00F2245E"/>
    <w:rsid w:val="00F228AE"/>
    <w:rsid w:val="00F233A5"/>
    <w:rsid w:val="00F23A9F"/>
    <w:rsid w:val="00F24155"/>
    <w:rsid w:val="00F26A38"/>
    <w:rsid w:val="00F27598"/>
    <w:rsid w:val="00F311AF"/>
    <w:rsid w:val="00F318D4"/>
    <w:rsid w:val="00F3382D"/>
    <w:rsid w:val="00F34AF6"/>
    <w:rsid w:val="00F34EAA"/>
    <w:rsid w:val="00F35495"/>
    <w:rsid w:val="00F365BB"/>
    <w:rsid w:val="00F36B46"/>
    <w:rsid w:val="00F3745E"/>
    <w:rsid w:val="00F378DC"/>
    <w:rsid w:val="00F37B91"/>
    <w:rsid w:val="00F37C52"/>
    <w:rsid w:val="00F4330A"/>
    <w:rsid w:val="00F450CC"/>
    <w:rsid w:val="00F45799"/>
    <w:rsid w:val="00F4603B"/>
    <w:rsid w:val="00F46E67"/>
    <w:rsid w:val="00F47D42"/>
    <w:rsid w:val="00F47DFC"/>
    <w:rsid w:val="00F47E6D"/>
    <w:rsid w:val="00F51130"/>
    <w:rsid w:val="00F52EB6"/>
    <w:rsid w:val="00F54723"/>
    <w:rsid w:val="00F553D4"/>
    <w:rsid w:val="00F561DE"/>
    <w:rsid w:val="00F5653B"/>
    <w:rsid w:val="00F56F85"/>
    <w:rsid w:val="00F57343"/>
    <w:rsid w:val="00F60F70"/>
    <w:rsid w:val="00F614CD"/>
    <w:rsid w:val="00F620D0"/>
    <w:rsid w:val="00F62F81"/>
    <w:rsid w:val="00F6328B"/>
    <w:rsid w:val="00F633AA"/>
    <w:rsid w:val="00F64370"/>
    <w:rsid w:val="00F65E19"/>
    <w:rsid w:val="00F65E41"/>
    <w:rsid w:val="00F67221"/>
    <w:rsid w:val="00F67410"/>
    <w:rsid w:val="00F70262"/>
    <w:rsid w:val="00F702CD"/>
    <w:rsid w:val="00F702DD"/>
    <w:rsid w:val="00F70366"/>
    <w:rsid w:val="00F709A1"/>
    <w:rsid w:val="00F719EC"/>
    <w:rsid w:val="00F73098"/>
    <w:rsid w:val="00F73537"/>
    <w:rsid w:val="00F744E4"/>
    <w:rsid w:val="00F758C6"/>
    <w:rsid w:val="00F764FA"/>
    <w:rsid w:val="00F76BBE"/>
    <w:rsid w:val="00F77DD1"/>
    <w:rsid w:val="00F812FA"/>
    <w:rsid w:val="00F83674"/>
    <w:rsid w:val="00F84222"/>
    <w:rsid w:val="00F85095"/>
    <w:rsid w:val="00F852A3"/>
    <w:rsid w:val="00F86F38"/>
    <w:rsid w:val="00F87A2A"/>
    <w:rsid w:val="00F90A6F"/>
    <w:rsid w:val="00F90CF3"/>
    <w:rsid w:val="00F90D34"/>
    <w:rsid w:val="00F93939"/>
    <w:rsid w:val="00F93975"/>
    <w:rsid w:val="00F955D1"/>
    <w:rsid w:val="00F96A02"/>
    <w:rsid w:val="00F96FF3"/>
    <w:rsid w:val="00F973CD"/>
    <w:rsid w:val="00F9777A"/>
    <w:rsid w:val="00F97C41"/>
    <w:rsid w:val="00F97FF6"/>
    <w:rsid w:val="00FA0192"/>
    <w:rsid w:val="00FA093B"/>
    <w:rsid w:val="00FA09E8"/>
    <w:rsid w:val="00FA0AF8"/>
    <w:rsid w:val="00FA1137"/>
    <w:rsid w:val="00FA331B"/>
    <w:rsid w:val="00FA363A"/>
    <w:rsid w:val="00FA45D9"/>
    <w:rsid w:val="00FA5E44"/>
    <w:rsid w:val="00FA6DAE"/>
    <w:rsid w:val="00FA7EC1"/>
    <w:rsid w:val="00FB0A5D"/>
    <w:rsid w:val="00FB1492"/>
    <w:rsid w:val="00FB1DC2"/>
    <w:rsid w:val="00FB24CD"/>
    <w:rsid w:val="00FB301E"/>
    <w:rsid w:val="00FB3D7D"/>
    <w:rsid w:val="00FB3F06"/>
    <w:rsid w:val="00FB49F4"/>
    <w:rsid w:val="00FB7813"/>
    <w:rsid w:val="00FC00E4"/>
    <w:rsid w:val="00FC132E"/>
    <w:rsid w:val="00FC2F7C"/>
    <w:rsid w:val="00FC311F"/>
    <w:rsid w:val="00FC3374"/>
    <w:rsid w:val="00FC364F"/>
    <w:rsid w:val="00FC4CDD"/>
    <w:rsid w:val="00FC577F"/>
    <w:rsid w:val="00FC65E4"/>
    <w:rsid w:val="00FC670E"/>
    <w:rsid w:val="00FC6E8C"/>
    <w:rsid w:val="00FD05AF"/>
    <w:rsid w:val="00FD0974"/>
    <w:rsid w:val="00FD09B1"/>
    <w:rsid w:val="00FD1730"/>
    <w:rsid w:val="00FD211F"/>
    <w:rsid w:val="00FD378E"/>
    <w:rsid w:val="00FD3D24"/>
    <w:rsid w:val="00FD592E"/>
    <w:rsid w:val="00FD5C58"/>
    <w:rsid w:val="00FD6232"/>
    <w:rsid w:val="00FE0B12"/>
    <w:rsid w:val="00FE2196"/>
    <w:rsid w:val="00FE25E6"/>
    <w:rsid w:val="00FE3C1D"/>
    <w:rsid w:val="00FE4AA6"/>
    <w:rsid w:val="00FE5278"/>
    <w:rsid w:val="00FE53C7"/>
    <w:rsid w:val="00FE5877"/>
    <w:rsid w:val="00FE7E65"/>
    <w:rsid w:val="00FF0B9C"/>
    <w:rsid w:val="00FF6A82"/>
    <w:rsid w:val="00FF7A39"/>
    <w:rsid w:val="0112451B"/>
    <w:rsid w:val="01386B0A"/>
    <w:rsid w:val="016A7BEC"/>
    <w:rsid w:val="0187211B"/>
    <w:rsid w:val="025D1B27"/>
    <w:rsid w:val="028D6F12"/>
    <w:rsid w:val="02E50E77"/>
    <w:rsid w:val="032F14E9"/>
    <w:rsid w:val="03B544A9"/>
    <w:rsid w:val="044C0405"/>
    <w:rsid w:val="045D6C08"/>
    <w:rsid w:val="048E7F19"/>
    <w:rsid w:val="04BD5262"/>
    <w:rsid w:val="0521570E"/>
    <w:rsid w:val="056A7D14"/>
    <w:rsid w:val="05CF1FD8"/>
    <w:rsid w:val="05EA1363"/>
    <w:rsid w:val="06095A25"/>
    <w:rsid w:val="06A35700"/>
    <w:rsid w:val="07401644"/>
    <w:rsid w:val="07DA0193"/>
    <w:rsid w:val="07EB6210"/>
    <w:rsid w:val="082A5BB6"/>
    <w:rsid w:val="08392F43"/>
    <w:rsid w:val="087842DC"/>
    <w:rsid w:val="08C2117D"/>
    <w:rsid w:val="08DA2954"/>
    <w:rsid w:val="08F30E74"/>
    <w:rsid w:val="0907263D"/>
    <w:rsid w:val="09BE1364"/>
    <w:rsid w:val="09FC144A"/>
    <w:rsid w:val="0A5A4E8B"/>
    <w:rsid w:val="0B5FBE04"/>
    <w:rsid w:val="0B7958FB"/>
    <w:rsid w:val="0B85449C"/>
    <w:rsid w:val="0C0D4C5B"/>
    <w:rsid w:val="0CDC3AA7"/>
    <w:rsid w:val="0D1E7745"/>
    <w:rsid w:val="0D507E25"/>
    <w:rsid w:val="0DCC7DC7"/>
    <w:rsid w:val="0DF66E6B"/>
    <w:rsid w:val="0E59200A"/>
    <w:rsid w:val="0F3851AD"/>
    <w:rsid w:val="0F447AE3"/>
    <w:rsid w:val="0F5A2F09"/>
    <w:rsid w:val="0F6A1B6E"/>
    <w:rsid w:val="0F8556D6"/>
    <w:rsid w:val="0F87249C"/>
    <w:rsid w:val="0F8A1752"/>
    <w:rsid w:val="104072BC"/>
    <w:rsid w:val="10496347"/>
    <w:rsid w:val="109C6F16"/>
    <w:rsid w:val="12A8367E"/>
    <w:rsid w:val="12CB02CC"/>
    <w:rsid w:val="1308062C"/>
    <w:rsid w:val="131F445A"/>
    <w:rsid w:val="13442A57"/>
    <w:rsid w:val="1357501E"/>
    <w:rsid w:val="137470C8"/>
    <w:rsid w:val="13F02D6B"/>
    <w:rsid w:val="15010464"/>
    <w:rsid w:val="150F69C3"/>
    <w:rsid w:val="167E4E37"/>
    <w:rsid w:val="17337C21"/>
    <w:rsid w:val="173F131A"/>
    <w:rsid w:val="175F6AE2"/>
    <w:rsid w:val="17B247D4"/>
    <w:rsid w:val="185D18E7"/>
    <w:rsid w:val="189271BC"/>
    <w:rsid w:val="19074B11"/>
    <w:rsid w:val="195264F4"/>
    <w:rsid w:val="1966729D"/>
    <w:rsid w:val="198C2CAD"/>
    <w:rsid w:val="19B629EB"/>
    <w:rsid w:val="19D10B82"/>
    <w:rsid w:val="19FE3DD4"/>
    <w:rsid w:val="19FFA71E"/>
    <w:rsid w:val="1A777A71"/>
    <w:rsid w:val="1B107A3D"/>
    <w:rsid w:val="1B1A79C2"/>
    <w:rsid w:val="1BBD6A5B"/>
    <w:rsid w:val="1BD909FC"/>
    <w:rsid w:val="1C132590"/>
    <w:rsid w:val="1C8460BA"/>
    <w:rsid w:val="1CCA59EF"/>
    <w:rsid w:val="1CE73541"/>
    <w:rsid w:val="1D415409"/>
    <w:rsid w:val="1E201670"/>
    <w:rsid w:val="1EBC1706"/>
    <w:rsid w:val="1F001612"/>
    <w:rsid w:val="1FC84A3F"/>
    <w:rsid w:val="1FD00FBC"/>
    <w:rsid w:val="1FFF485A"/>
    <w:rsid w:val="209F112C"/>
    <w:rsid w:val="21535CC4"/>
    <w:rsid w:val="215C6690"/>
    <w:rsid w:val="220E0599"/>
    <w:rsid w:val="22270752"/>
    <w:rsid w:val="222D32EB"/>
    <w:rsid w:val="229D54CB"/>
    <w:rsid w:val="22A722E1"/>
    <w:rsid w:val="22EC755B"/>
    <w:rsid w:val="23447347"/>
    <w:rsid w:val="23482B19"/>
    <w:rsid w:val="235512D8"/>
    <w:rsid w:val="236029DE"/>
    <w:rsid w:val="2413080C"/>
    <w:rsid w:val="249065AE"/>
    <w:rsid w:val="249110DE"/>
    <w:rsid w:val="24A67EA5"/>
    <w:rsid w:val="25963E3C"/>
    <w:rsid w:val="264B4D5E"/>
    <w:rsid w:val="27242ADF"/>
    <w:rsid w:val="27320259"/>
    <w:rsid w:val="273E5F0F"/>
    <w:rsid w:val="278522D9"/>
    <w:rsid w:val="27980FF6"/>
    <w:rsid w:val="279E05F9"/>
    <w:rsid w:val="27EDD755"/>
    <w:rsid w:val="281A7DEB"/>
    <w:rsid w:val="28D3043F"/>
    <w:rsid w:val="29057D3C"/>
    <w:rsid w:val="29433F65"/>
    <w:rsid w:val="29B349BF"/>
    <w:rsid w:val="29EB181D"/>
    <w:rsid w:val="2A022567"/>
    <w:rsid w:val="2A2F6DCF"/>
    <w:rsid w:val="2A3476EC"/>
    <w:rsid w:val="2A3A51E0"/>
    <w:rsid w:val="2B9B6952"/>
    <w:rsid w:val="2BB17DE5"/>
    <w:rsid w:val="2C3A1823"/>
    <w:rsid w:val="2C603EE4"/>
    <w:rsid w:val="2CF14552"/>
    <w:rsid w:val="2D523ED3"/>
    <w:rsid w:val="2DA9439F"/>
    <w:rsid w:val="2DC321B8"/>
    <w:rsid w:val="2DF7D673"/>
    <w:rsid w:val="2ED71EAD"/>
    <w:rsid w:val="2F3C4336"/>
    <w:rsid w:val="2F3F8D91"/>
    <w:rsid w:val="2F521493"/>
    <w:rsid w:val="2FAD0F43"/>
    <w:rsid w:val="2FCF1194"/>
    <w:rsid w:val="2FE7CE26"/>
    <w:rsid w:val="2FFFC231"/>
    <w:rsid w:val="30623B84"/>
    <w:rsid w:val="30A14551"/>
    <w:rsid w:val="3142605F"/>
    <w:rsid w:val="31A17F1B"/>
    <w:rsid w:val="31A949E8"/>
    <w:rsid w:val="31C46812"/>
    <w:rsid w:val="31E96531"/>
    <w:rsid w:val="32535AA0"/>
    <w:rsid w:val="325664C2"/>
    <w:rsid w:val="32E13B2C"/>
    <w:rsid w:val="33557B8C"/>
    <w:rsid w:val="34497F22"/>
    <w:rsid w:val="345F6435"/>
    <w:rsid w:val="34FB6FC2"/>
    <w:rsid w:val="35423FC5"/>
    <w:rsid w:val="3578382F"/>
    <w:rsid w:val="35824039"/>
    <w:rsid w:val="35923426"/>
    <w:rsid w:val="35F7984E"/>
    <w:rsid w:val="366A1097"/>
    <w:rsid w:val="36895157"/>
    <w:rsid w:val="36DE0121"/>
    <w:rsid w:val="36EF3596"/>
    <w:rsid w:val="36F601B4"/>
    <w:rsid w:val="36FBD36F"/>
    <w:rsid w:val="37146A7D"/>
    <w:rsid w:val="37D60DA6"/>
    <w:rsid w:val="37DB3C79"/>
    <w:rsid w:val="37EB1515"/>
    <w:rsid w:val="37FFD329"/>
    <w:rsid w:val="38317501"/>
    <w:rsid w:val="391A8C7C"/>
    <w:rsid w:val="394F027B"/>
    <w:rsid w:val="396D3D35"/>
    <w:rsid w:val="3A145649"/>
    <w:rsid w:val="3A1D6A5F"/>
    <w:rsid w:val="3ACF7C03"/>
    <w:rsid w:val="3ADC50C0"/>
    <w:rsid w:val="3AF531AC"/>
    <w:rsid w:val="3AFF3FF5"/>
    <w:rsid w:val="3AFF75AB"/>
    <w:rsid w:val="3B9422A2"/>
    <w:rsid w:val="3BAA3FD9"/>
    <w:rsid w:val="3BE84C40"/>
    <w:rsid w:val="3BF3DA61"/>
    <w:rsid w:val="3C047096"/>
    <w:rsid w:val="3C4109F6"/>
    <w:rsid w:val="3C47184D"/>
    <w:rsid w:val="3CFF0751"/>
    <w:rsid w:val="3D7144D7"/>
    <w:rsid w:val="3DFF0260"/>
    <w:rsid w:val="3DFFD6C9"/>
    <w:rsid w:val="3E06398B"/>
    <w:rsid w:val="3E6D4240"/>
    <w:rsid w:val="3EC275DA"/>
    <w:rsid w:val="3EE867C0"/>
    <w:rsid w:val="3EF60037"/>
    <w:rsid w:val="3F1B55B5"/>
    <w:rsid w:val="3F221723"/>
    <w:rsid w:val="3F780047"/>
    <w:rsid w:val="3F7CDE09"/>
    <w:rsid w:val="3FBE19BA"/>
    <w:rsid w:val="3FD411DC"/>
    <w:rsid w:val="3FD7A91F"/>
    <w:rsid w:val="3FD7FC26"/>
    <w:rsid w:val="3FDB425E"/>
    <w:rsid w:val="3FE5B0B5"/>
    <w:rsid w:val="3FEF8C0F"/>
    <w:rsid w:val="400E04FA"/>
    <w:rsid w:val="4104372C"/>
    <w:rsid w:val="41FE8D13"/>
    <w:rsid w:val="42661ABA"/>
    <w:rsid w:val="428D13FE"/>
    <w:rsid w:val="42F54D43"/>
    <w:rsid w:val="43C16C2C"/>
    <w:rsid w:val="43C86CFA"/>
    <w:rsid w:val="441F3781"/>
    <w:rsid w:val="44DB14C2"/>
    <w:rsid w:val="45295549"/>
    <w:rsid w:val="45502C7A"/>
    <w:rsid w:val="45A131AA"/>
    <w:rsid w:val="45AE3F2E"/>
    <w:rsid w:val="46DA42C8"/>
    <w:rsid w:val="47726709"/>
    <w:rsid w:val="47925FE4"/>
    <w:rsid w:val="48227470"/>
    <w:rsid w:val="4893664C"/>
    <w:rsid w:val="48B15DB6"/>
    <w:rsid w:val="48C608B6"/>
    <w:rsid w:val="48C82821"/>
    <w:rsid w:val="495C0B1B"/>
    <w:rsid w:val="4967187C"/>
    <w:rsid w:val="49846F9F"/>
    <w:rsid w:val="49A12A33"/>
    <w:rsid w:val="4A024C7A"/>
    <w:rsid w:val="4A7A7E43"/>
    <w:rsid w:val="4AA429F2"/>
    <w:rsid w:val="4AAB7543"/>
    <w:rsid w:val="4AD80EA8"/>
    <w:rsid w:val="4AEB26CA"/>
    <w:rsid w:val="4B9C1D51"/>
    <w:rsid w:val="4C7A1992"/>
    <w:rsid w:val="4C8729B9"/>
    <w:rsid w:val="4CF33DF1"/>
    <w:rsid w:val="4D2E133B"/>
    <w:rsid w:val="4D376A4E"/>
    <w:rsid w:val="4D9BE65E"/>
    <w:rsid w:val="4DF453D6"/>
    <w:rsid w:val="4E153D60"/>
    <w:rsid w:val="4E2975C2"/>
    <w:rsid w:val="4EA26125"/>
    <w:rsid w:val="4ED03A67"/>
    <w:rsid w:val="4EE06D51"/>
    <w:rsid w:val="4FB71646"/>
    <w:rsid w:val="4FB73E08"/>
    <w:rsid w:val="4FDA02C8"/>
    <w:rsid w:val="4FE42577"/>
    <w:rsid w:val="505F34B4"/>
    <w:rsid w:val="508D6258"/>
    <w:rsid w:val="51515AFC"/>
    <w:rsid w:val="51B3720F"/>
    <w:rsid w:val="51BE6520"/>
    <w:rsid w:val="51F839B9"/>
    <w:rsid w:val="521A7773"/>
    <w:rsid w:val="523F4166"/>
    <w:rsid w:val="526C46FE"/>
    <w:rsid w:val="52854660"/>
    <w:rsid w:val="52A23EA6"/>
    <w:rsid w:val="52C151A6"/>
    <w:rsid w:val="53032ED3"/>
    <w:rsid w:val="54314267"/>
    <w:rsid w:val="54D468D5"/>
    <w:rsid w:val="551759B5"/>
    <w:rsid w:val="559D3A3E"/>
    <w:rsid w:val="56264E48"/>
    <w:rsid w:val="56344E1B"/>
    <w:rsid w:val="56345496"/>
    <w:rsid w:val="565B46E5"/>
    <w:rsid w:val="566A3A16"/>
    <w:rsid w:val="567A1A66"/>
    <w:rsid w:val="56801EB5"/>
    <w:rsid w:val="56DC4E8C"/>
    <w:rsid w:val="56DD2E66"/>
    <w:rsid w:val="57ECF234"/>
    <w:rsid w:val="581C54AF"/>
    <w:rsid w:val="589A1942"/>
    <w:rsid w:val="58E912D6"/>
    <w:rsid w:val="58F6C372"/>
    <w:rsid w:val="59411D11"/>
    <w:rsid w:val="595152DE"/>
    <w:rsid w:val="59936D84"/>
    <w:rsid w:val="59B424CA"/>
    <w:rsid w:val="59E177C8"/>
    <w:rsid w:val="5ABE4FAD"/>
    <w:rsid w:val="5ACB608B"/>
    <w:rsid w:val="5AED2E1B"/>
    <w:rsid w:val="5B914055"/>
    <w:rsid w:val="5BA44DCD"/>
    <w:rsid w:val="5BC7083B"/>
    <w:rsid w:val="5BD86727"/>
    <w:rsid w:val="5BE1746D"/>
    <w:rsid w:val="5BF6AA57"/>
    <w:rsid w:val="5BFF657D"/>
    <w:rsid w:val="5C5E5033"/>
    <w:rsid w:val="5CDE64C9"/>
    <w:rsid w:val="5D467D85"/>
    <w:rsid w:val="5D66F4BE"/>
    <w:rsid w:val="5D7976B3"/>
    <w:rsid w:val="5DA37FAD"/>
    <w:rsid w:val="5DFA72A8"/>
    <w:rsid w:val="5DFB590F"/>
    <w:rsid w:val="5DFEEB3A"/>
    <w:rsid w:val="5E21394E"/>
    <w:rsid w:val="5E8829F6"/>
    <w:rsid w:val="5EDB34B4"/>
    <w:rsid w:val="5EFF473A"/>
    <w:rsid w:val="5F37B8F9"/>
    <w:rsid w:val="5F3C6F73"/>
    <w:rsid w:val="5F66BEB1"/>
    <w:rsid w:val="5F7B60A0"/>
    <w:rsid w:val="5FC772D6"/>
    <w:rsid w:val="61125230"/>
    <w:rsid w:val="6308535A"/>
    <w:rsid w:val="638C4469"/>
    <w:rsid w:val="63C67607"/>
    <w:rsid w:val="64D668A0"/>
    <w:rsid w:val="64EA6138"/>
    <w:rsid w:val="65154668"/>
    <w:rsid w:val="65E05A27"/>
    <w:rsid w:val="65F526E8"/>
    <w:rsid w:val="66924129"/>
    <w:rsid w:val="66CA50FD"/>
    <w:rsid w:val="66FF2479"/>
    <w:rsid w:val="6778584C"/>
    <w:rsid w:val="67D3A064"/>
    <w:rsid w:val="67E522CF"/>
    <w:rsid w:val="68CF6A28"/>
    <w:rsid w:val="68E84374"/>
    <w:rsid w:val="69C92C9A"/>
    <w:rsid w:val="69DFABD9"/>
    <w:rsid w:val="6A5FFD7A"/>
    <w:rsid w:val="6A930F62"/>
    <w:rsid w:val="6AE27F29"/>
    <w:rsid w:val="6AE7E57F"/>
    <w:rsid w:val="6B425B5D"/>
    <w:rsid w:val="6B503B2A"/>
    <w:rsid w:val="6B74745E"/>
    <w:rsid w:val="6B7840DB"/>
    <w:rsid w:val="6B850307"/>
    <w:rsid w:val="6B851695"/>
    <w:rsid w:val="6BFF5B4E"/>
    <w:rsid w:val="6C4069F0"/>
    <w:rsid w:val="6C474670"/>
    <w:rsid w:val="6CE315BD"/>
    <w:rsid w:val="6D2B1862"/>
    <w:rsid w:val="6D721DF6"/>
    <w:rsid w:val="6DEB1DA4"/>
    <w:rsid w:val="6E6766C0"/>
    <w:rsid w:val="6EFF3A34"/>
    <w:rsid w:val="6F577A92"/>
    <w:rsid w:val="6F7344C3"/>
    <w:rsid w:val="6F8FEC9D"/>
    <w:rsid w:val="6FBA5012"/>
    <w:rsid w:val="6FCF79F9"/>
    <w:rsid w:val="6FF9D6BC"/>
    <w:rsid w:val="6FF9FF24"/>
    <w:rsid w:val="6FFD5952"/>
    <w:rsid w:val="6FFE192F"/>
    <w:rsid w:val="70182279"/>
    <w:rsid w:val="70D4023A"/>
    <w:rsid w:val="717D7128"/>
    <w:rsid w:val="718320B7"/>
    <w:rsid w:val="725E7B84"/>
    <w:rsid w:val="72F66B7C"/>
    <w:rsid w:val="72FFF4BB"/>
    <w:rsid w:val="731E62AB"/>
    <w:rsid w:val="7377279E"/>
    <w:rsid w:val="737E60AE"/>
    <w:rsid w:val="73DE9E3F"/>
    <w:rsid w:val="73DFB3FA"/>
    <w:rsid w:val="73FF1535"/>
    <w:rsid w:val="74282C85"/>
    <w:rsid w:val="744924DC"/>
    <w:rsid w:val="745D0666"/>
    <w:rsid w:val="748C7B97"/>
    <w:rsid w:val="758C507A"/>
    <w:rsid w:val="766808A0"/>
    <w:rsid w:val="76827B67"/>
    <w:rsid w:val="778E477C"/>
    <w:rsid w:val="77B71CB8"/>
    <w:rsid w:val="77DE0F3B"/>
    <w:rsid w:val="77DFB9AD"/>
    <w:rsid w:val="7818439F"/>
    <w:rsid w:val="784A2AB0"/>
    <w:rsid w:val="784A3ECE"/>
    <w:rsid w:val="78921668"/>
    <w:rsid w:val="78F3369A"/>
    <w:rsid w:val="7914151B"/>
    <w:rsid w:val="7916B0E9"/>
    <w:rsid w:val="793E3454"/>
    <w:rsid w:val="79DA0242"/>
    <w:rsid w:val="7A324E74"/>
    <w:rsid w:val="7AB5773F"/>
    <w:rsid w:val="7ABA26AA"/>
    <w:rsid w:val="7ABB1CB7"/>
    <w:rsid w:val="7AED02B3"/>
    <w:rsid w:val="7B9B3791"/>
    <w:rsid w:val="7BBC2640"/>
    <w:rsid w:val="7BBC4D64"/>
    <w:rsid w:val="7BBD499B"/>
    <w:rsid w:val="7BDDBCFC"/>
    <w:rsid w:val="7BE50955"/>
    <w:rsid w:val="7BFC1C2F"/>
    <w:rsid w:val="7BFF1E05"/>
    <w:rsid w:val="7CDC5825"/>
    <w:rsid w:val="7D2854CD"/>
    <w:rsid w:val="7D7E64CA"/>
    <w:rsid w:val="7DB8D0FE"/>
    <w:rsid w:val="7DE7F386"/>
    <w:rsid w:val="7DEFA7FA"/>
    <w:rsid w:val="7DF17CE7"/>
    <w:rsid w:val="7DFB4191"/>
    <w:rsid w:val="7DFB7F4E"/>
    <w:rsid w:val="7DFF3468"/>
    <w:rsid w:val="7E08241D"/>
    <w:rsid w:val="7E347EA7"/>
    <w:rsid w:val="7E416EDF"/>
    <w:rsid w:val="7E5F29EF"/>
    <w:rsid w:val="7E61452B"/>
    <w:rsid w:val="7E766FF5"/>
    <w:rsid w:val="7E7A3D44"/>
    <w:rsid w:val="7E8904B7"/>
    <w:rsid w:val="7EA45680"/>
    <w:rsid w:val="7EBF381B"/>
    <w:rsid w:val="7EEA6172"/>
    <w:rsid w:val="7EEDE351"/>
    <w:rsid w:val="7EEFEEEE"/>
    <w:rsid w:val="7EFFC94D"/>
    <w:rsid w:val="7F5FA20C"/>
    <w:rsid w:val="7F6EBB33"/>
    <w:rsid w:val="7F9B33D5"/>
    <w:rsid w:val="7FBFC31C"/>
    <w:rsid w:val="7FBFFD52"/>
    <w:rsid w:val="7FD5E229"/>
    <w:rsid w:val="7FDF6D69"/>
    <w:rsid w:val="7FEF9D39"/>
    <w:rsid w:val="7FFF34FE"/>
    <w:rsid w:val="7FFF6208"/>
    <w:rsid w:val="8FAD7F93"/>
    <w:rsid w:val="94BB89D3"/>
    <w:rsid w:val="97D3B674"/>
    <w:rsid w:val="97DF4DC4"/>
    <w:rsid w:val="97F17E04"/>
    <w:rsid w:val="9BD9DF5E"/>
    <w:rsid w:val="9D3F6B51"/>
    <w:rsid w:val="9E9E2022"/>
    <w:rsid w:val="A79FC8A8"/>
    <w:rsid w:val="AAD38C4F"/>
    <w:rsid w:val="AAF5CF67"/>
    <w:rsid w:val="AE3F30CC"/>
    <w:rsid w:val="AFA5A9DC"/>
    <w:rsid w:val="AFB707A8"/>
    <w:rsid w:val="AFB78EDE"/>
    <w:rsid w:val="AFBABB44"/>
    <w:rsid w:val="AFCF9FDE"/>
    <w:rsid w:val="AFDB0779"/>
    <w:rsid w:val="B37F42A2"/>
    <w:rsid w:val="B3C8C237"/>
    <w:rsid w:val="B7DF98EB"/>
    <w:rsid w:val="B7EF4545"/>
    <w:rsid w:val="BBBF897B"/>
    <w:rsid w:val="BCFAEDC2"/>
    <w:rsid w:val="BDD7BA18"/>
    <w:rsid w:val="BE7FE5B8"/>
    <w:rsid w:val="BEF80EF0"/>
    <w:rsid w:val="BEFF937B"/>
    <w:rsid w:val="BFB6AEC3"/>
    <w:rsid w:val="BFC71A12"/>
    <w:rsid w:val="BFEC3823"/>
    <w:rsid w:val="BFEDBAF6"/>
    <w:rsid w:val="BFFA6DF7"/>
    <w:rsid w:val="CCBEE609"/>
    <w:rsid w:val="CCFADF17"/>
    <w:rsid w:val="CDD771A1"/>
    <w:rsid w:val="CDEB69FA"/>
    <w:rsid w:val="CEFF68F6"/>
    <w:rsid w:val="D3BA7BF0"/>
    <w:rsid w:val="D3FBBC33"/>
    <w:rsid w:val="D5F73631"/>
    <w:rsid w:val="D5FE0364"/>
    <w:rsid w:val="D6724456"/>
    <w:rsid w:val="D87F3D3A"/>
    <w:rsid w:val="D9DF6014"/>
    <w:rsid w:val="DBBE5F64"/>
    <w:rsid w:val="DBEEFFBD"/>
    <w:rsid w:val="DBF570B2"/>
    <w:rsid w:val="DCEBA652"/>
    <w:rsid w:val="DD3D5963"/>
    <w:rsid w:val="DD5FF24D"/>
    <w:rsid w:val="DDBF271F"/>
    <w:rsid w:val="DE7D1A22"/>
    <w:rsid w:val="DEBF453C"/>
    <w:rsid w:val="DEEE229E"/>
    <w:rsid w:val="DF774499"/>
    <w:rsid w:val="DFAD4896"/>
    <w:rsid w:val="DFB1B189"/>
    <w:rsid w:val="DFBED4B5"/>
    <w:rsid w:val="DFBF36B4"/>
    <w:rsid w:val="DFCF1D8B"/>
    <w:rsid w:val="DFFF548B"/>
    <w:rsid w:val="EA277995"/>
    <w:rsid w:val="EBFE8443"/>
    <w:rsid w:val="ECFC1338"/>
    <w:rsid w:val="EE6C0D20"/>
    <w:rsid w:val="EEFB75C4"/>
    <w:rsid w:val="EF7DA5CA"/>
    <w:rsid w:val="EF7F5C9B"/>
    <w:rsid w:val="EF9A9625"/>
    <w:rsid w:val="EFF5105E"/>
    <w:rsid w:val="EFFB9913"/>
    <w:rsid w:val="F0CF6918"/>
    <w:rsid w:val="F32F541B"/>
    <w:rsid w:val="F3EDDE08"/>
    <w:rsid w:val="F3FBE468"/>
    <w:rsid w:val="F3FF8E30"/>
    <w:rsid w:val="F4FFA798"/>
    <w:rsid w:val="F56D2462"/>
    <w:rsid w:val="F5F7D5AB"/>
    <w:rsid w:val="F66B4F4E"/>
    <w:rsid w:val="F7DFA95C"/>
    <w:rsid w:val="F7FDFE35"/>
    <w:rsid w:val="F7FEF2C6"/>
    <w:rsid w:val="F97B534E"/>
    <w:rsid w:val="FADDE713"/>
    <w:rsid w:val="FB7F29C6"/>
    <w:rsid w:val="FBD54BCA"/>
    <w:rsid w:val="FBDBCCF0"/>
    <w:rsid w:val="FBDDDEC3"/>
    <w:rsid w:val="FC674358"/>
    <w:rsid w:val="FCFF60E9"/>
    <w:rsid w:val="FD776BEE"/>
    <w:rsid w:val="FDB7F84E"/>
    <w:rsid w:val="FDED1412"/>
    <w:rsid w:val="FDEF4F04"/>
    <w:rsid w:val="FDFA0AC4"/>
    <w:rsid w:val="FE57203E"/>
    <w:rsid w:val="FEF7CEDB"/>
    <w:rsid w:val="FEFB1F4F"/>
    <w:rsid w:val="FEFB2016"/>
    <w:rsid w:val="FEFF2A24"/>
    <w:rsid w:val="FF3CB7A9"/>
    <w:rsid w:val="FF7F18B8"/>
    <w:rsid w:val="FFB4BD9E"/>
    <w:rsid w:val="FFBF7C9C"/>
    <w:rsid w:val="FFD2081E"/>
    <w:rsid w:val="FFD73D0F"/>
    <w:rsid w:val="FFD74F51"/>
    <w:rsid w:val="FFDEB3F6"/>
    <w:rsid w:val="FFF545D9"/>
    <w:rsid w:val="FFF7626D"/>
    <w:rsid w:val="FFFF8F2D"/>
    <w:rsid w:val="FFFFD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nhideWhenUsed="0" w:uiPriority="0" w:semiHidden="0" w:name="List Bullet"/>
    <w:lsdException w:unhideWhenUsed="0"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 w:cstheme="minorBidi"/>
      <w:kern w:val="2"/>
      <w:sz w:val="32"/>
      <w:szCs w:val="24"/>
      <w:lang w:val="en-US" w:eastAsia="zh-CN" w:bidi="ar-SA"/>
    </w:rPr>
  </w:style>
  <w:style w:type="paragraph" w:styleId="2">
    <w:name w:val="heading 1"/>
    <w:basedOn w:val="1"/>
    <w:next w:val="1"/>
    <w:qFormat/>
    <w:uiPriority w:val="0"/>
    <w:pPr>
      <w:keepNext/>
      <w:keepLines/>
      <w:spacing w:line="360" w:lineRule="auto"/>
      <w:ind w:firstLine="643"/>
      <w:outlineLvl w:val="0"/>
    </w:pPr>
    <w:rPr>
      <w:b/>
      <w:bCs/>
      <w:snapToGrid w:val="0"/>
      <w:kern w:val="0"/>
      <w:szCs w:val="44"/>
    </w:rPr>
  </w:style>
  <w:style w:type="paragraph" w:styleId="3">
    <w:name w:val="heading 2"/>
    <w:basedOn w:val="1"/>
    <w:next w:val="1"/>
    <w:link w:val="29"/>
    <w:unhideWhenUsed/>
    <w:qFormat/>
    <w:uiPriority w:val="0"/>
    <w:pPr>
      <w:keepNext/>
      <w:keepLines/>
      <w:outlineLvl w:val="1"/>
    </w:pPr>
    <w:rPr>
      <w:rFonts w:ascii="Arial" w:hAnsi="Arial" w:eastAsia="楷体"/>
    </w:rPr>
  </w:style>
  <w:style w:type="paragraph" w:styleId="4">
    <w:name w:val="heading 3"/>
    <w:basedOn w:val="1"/>
    <w:next w:val="1"/>
    <w:link w:val="35"/>
    <w:unhideWhenUsed/>
    <w:qFormat/>
    <w:uiPriority w:val="0"/>
    <w:pPr>
      <w:keepNext/>
      <w:keepLines/>
      <w:outlineLvl w:val="2"/>
    </w:pPr>
    <w:rPr>
      <w:b/>
      <w:bCs/>
      <w:szCs w:val="32"/>
    </w:rPr>
  </w:style>
  <w:style w:type="paragraph" w:styleId="5">
    <w:name w:val="heading 4"/>
    <w:basedOn w:val="1"/>
    <w:next w:val="1"/>
    <w:link w:val="45"/>
    <w:unhideWhenUsed/>
    <w:qFormat/>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Document Map"/>
    <w:basedOn w:val="1"/>
    <w:link w:val="34"/>
    <w:qFormat/>
    <w:uiPriority w:val="0"/>
    <w:rPr>
      <w:rFonts w:ascii="宋体" w:eastAsia="宋体"/>
      <w:sz w:val="18"/>
      <w:szCs w:val="18"/>
    </w:rPr>
  </w:style>
  <w:style w:type="paragraph" w:styleId="8">
    <w:name w:val="annotation text"/>
    <w:basedOn w:val="1"/>
    <w:link w:val="31"/>
    <w:qFormat/>
    <w:uiPriority w:val="99"/>
  </w:style>
  <w:style w:type="paragraph" w:styleId="9">
    <w:name w:val="toc 3"/>
    <w:basedOn w:val="1"/>
    <w:next w:val="1"/>
    <w:unhideWhenUsed/>
    <w:qFormat/>
    <w:uiPriority w:val="39"/>
    <w:pPr>
      <w:tabs>
        <w:tab w:val="right" w:leader="dot" w:pos="8834"/>
      </w:tabs>
      <w:ind w:firstLine="640"/>
    </w:pPr>
  </w:style>
  <w:style w:type="paragraph" w:styleId="10">
    <w:name w:val="Body Text Indent 2"/>
    <w:basedOn w:val="1"/>
    <w:link w:val="40"/>
    <w:qFormat/>
    <w:uiPriority w:val="0"/>
    <w:pPr>
      <w:spacing w:after="120" w:line="480" w:lineRule="auto"/>
      <w:ind w:left="420" w:leftChars="200"/>
    </w:pPr>
  </w:style>
  <w:style w:type="paragraph" w:styleId="11">
    <w:name w:val="Balloon Text"/>
    <w:basedOn w:val="1"/>
    <w:link w:val="30"/>
    <w:qFormat/>
    <w:uiPriority w:val="0"/>
    <w:rPr>
      <w:sz w:val="18"/>
      <w:szCs w:val="18"/>
    </w:rPr>
  </w:style>
  <w:style w:type="paragraph" w:styleId="12">
    <w:name w:val="footer"/>
    <w:basedOn w:val="1"/>
    <w:link w:val="37"/>
    <w:qFormat/>
    <w:uiPriority w:val="99"/>
    <w:pPr>
      <w:tabs>
        <w:tab w:val="center" w:pos="4153"/>
        <w:tab w:val="right" w:pos="8306"/>
      </w:tabs>
      <w:snapToGrid w:val="0"/>
    </w:pPr>
    <w:rPr>
      <w:sz w:val="18"/>
    </w:rPr>
  </w:style>
  <w:style w:type="paragraph" w:styleId="1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rPr>
      <w:sz w:val="28"/>
    </w:rPr>
  </w:style>
  <w:style w:type="paragraph" w:styleId="15">
    <w:name w:val="Subtitle"/>
    <w:basedOn w:val="1"/>
    <w:next w:val="1"/>
    <w:qFormat/>
    <w:uiPriority w:val="0"/>
    <w:pPr>
      <w:outlineLvl w:val="2"/>
    </w:pPr>
    <w:rPr>
      <w:rFonts w:ascii="Cambria" w:hAnsi="Cambria" w:eastAsia="黑体"/>
      <w:bCs/>
      <w:kern w:val="28"/>
      <w:szCs w:val="32"/>
    </w:rPr>
  </w:style>
  <w:style w:type="paragraph" w:styleId="16">
    <w:name w:val="footnote text"/>
    <w:basedOn w:val="1"/>
    <w:link w:val="38"/>
    <w:unhideWhenUsed/>
    <w:qFormat/>
    <w:uiPriority w:val="99"/>
    <w:pPr>
      <w:snapToGrid w:val="0"/>
    </w:pPr>
    <w:rPr>
      <w:sz w:val="18"/>
      <w:szCs w:val="18"/>
    </w:rPr>
  </w:style>
  <w:style w:type="paragraph" w:styleId="17">
    <w:name w:val="toc 2"/>
    <w:basedOn w:val="1"/>
    <w:next w:val="1"/>
    <w:qFormat/>
    <w:uiPriority w:val="39"/>
    <w:pPr>
      <w:spacing w:line="480" w:lineRule="exact"/>
    </w:pPr>
    <w:rPr>
      <w:sz w:val="28"/>
    </w:rPr>
  </w:style>
  <w:style w:type="paragraph" w:styleId="18">
    <w:name w:val="Normal (Web)"/>
    <w:basedOn w:val="1"/>
    <w:unhideWhenUsed/>
    <w:qFormat/>
    <w:uiPriority w:val="99"/>
    <w:pPr>
      <w:widowControl/>
      <w:spacing w:before="100" w:beforeAutospacing="1" w:after="100" w:afterAutospacing="1"/>
      <w:ind w:firstLine="0" w:firstLineChars="0"/>
    </w:pPr>
    <w:rPr>
      <w:rFonts w:ascii="宋体" w:hAnsi="宋体" w:eastAsia="宋体" w:cs="宋体"/>
      <w:kern w:val="0"/>
      <w:sz w:val="24"/>
    </w:rPr>
  </w:style>
  <w:style w:type="paragraph" w:styleId="19">
    <w:name w:val="annotation subject"/>
    <w:basedOn w:val="8"/>
    <w:next w:val="8"/>
    <w:link w:val="33"/>
    <w:qFormat/>
    <w:uiPriority w:val="0"/>
    <w:rPr>
      <w:b/>
      <w:bCs/>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page number"/>
    <w:basedOn w:val="22"/>
    <w:qFormat/>
    <w:uiPriority w:val="0"/>
  </w:style>
  <w:style w:type="character" w:styleId="25">
    <w:name w:val="Hyperlink"/>
    <w:basedOn w:val="22"/>
    <w:unhideWhenUsed/>
    <w:qFormat/>
    <w:uiPriority w:val="99"/>
    <w:rPr>
      <w:color w:val="0563C1" w:themeColor="hyperlink"/>
      <w:u w:val="single"/>
      <w14:textFill>
        <w14:solidFill>
          <w14:schemeClr w14:val="hlink"/>
        </w14:solidFill>
      </w14:textFill>
    </w:rPr>
  </w:style>
  <w:style w:type="character" w:styleId="26">
    <w:name w:val="annotation reference"/>
    <w:basedOn w:val="22"/>
    <w:unhideWhenUsed/>
    <w:qFormat/>
    <w:uiPriority w:val="99"/>
    <w:rPr>
      <w:sz w:val="21"/>
      <w:szCs w:val="21"/>
    </w:rPr>
  </w:style>
  <w:style w:type="character" w:styleId="27">
    <w:name w:val="footnote reference"/>
    <w:basedOn w:val="22"/>
    <w:unhideWhenUsed/>
    <w:qFormat/>
    <w:uiPriority w:val="99"/>
    <w:rPr>
      <w:vertAlign w:val="superscript"/>
    </w:rPr>
  </w:style>
  <w:style w:type="paragraph" w:customStyle="1" w:styleId="28">
    <w:name w:val="_Style 7"/>
    <w:qFormat/>
    <w:uiPriority w:val="1"/>
    <w:rPr>
      <w:rFonts w:ascii="Calibri" w:hAnsi="Calibri" w:eastAsiaTheme="minorEastAsia" w:cstheme="minorBidi"/>
      <w:sz w:val="22"/>
      <w:szCs w:val="22"/>
      <w:lang w:val="en-US" w:eastAsia="zh-CN" w:bidi="ar-SA"/>
    </w:rPr>
  </w:style>
  <w:style w:type="character" w:customStyle="1" w:styleId="29">
    <w:name w:val="标题 2 字符"/>
    <w:link w:val="3"/>
    <w:qFormat/>
    <w:uiPriority w:val="0"/>
    <w:rPr>
      <w:rFonts w:ascii="Arial" w:hAnsi="Arial" w:eastAsia="楷体" w:cstheme="minorBidi"/>
      <w:kern w:val="2"/>
      <w:sz w:val="32"/>
      <w:szCs w:val="24"/>
    </w:rPr>
  </w:style>
  <w:style w:type="character" w:customStyle="1" w:styleId="30">
    <w:name w:val="批注框文本 字符"/>
    <w:basedOn w:val="22"/>
    <w:link w:val="11"/>
    <w:qFormat/>
    <w:uiPriority w:val="0"/>
    <w:rPr>
      <w:rFonts w:eastAsia="仿宋"/>
      <w:kern w:val="2"/>
      <w:sz w:val="18"/>
      <w:szCs w:val="18"/>
    </w:rPr>
  </w:style>
  <w:style w:type="character" w:customStyle="1" w:styleId="31">
    <w:name w:val="批注文字 字符"/>
    <w:basedOn w:val="22"/>
    <w:link w:val="8"/>
    <w:qFormat/>
    <w:uiPriority w:val="99"/>
    <w:rPr>
      <w:rFonts w:eastAsia="仿宋"/>
      <w:kern w:val="2"/>
      <w:sz w:val="32"/>
      <w:szCs w:val="24"/>
    </w:rPr>
  </w:style>
  <w:style w:type="paragraph" w:customStyle="1" w:styleId="32">
    <w:name w:val="列表段落1"/>
    <w:basedOn w:val="1"/>
    <w:unhideWhenUsed/>
    <w:qFormat/>
    <w:uiPriority w:val="99"/>
    <w:pPr>
      <w:ind w:firstLine="420"/>
    </w:pPr>
  </w:style>
  <w:style w:type="character" w:customStyle="1" w:styleId="33">
    <w:name w:val="批注主题 字符"/>
    <w:basedOn w:val="31"/>
    <w:link w:val="19"/>
    <w:qFormat/>
    <w:uiPriority w:val="0"/>
    <w:rPr>
      <w:rFonts w:eastAsia="仿宋"/>
      <w:b/>
      <w:bCs/>
      <w:kern w:val="2"/>
      <w:sz w:val="32"/>
      <w:szCs w:val="24"/>
    </w:rPr>
  </w:style>
  <w:style w:type="character" w:customStyle="1" w:styleId="34">
    <w:name w:val="文档结构图 字符"/>
    <w:basedOn w:val="22"/>
    <w:link w:val="7"/>
    <w:qFormat/>
    <w:uiPriority w:val="0"/>
    <w:rPr>
      <w:rFonts w:ascii="宋体" w:eastAsia="宋体"/>
      <w:kern w:val="2"/>
      <w:sz w:val="18"/>
      <w:szCs w:val="18"/>
    </w:rPr>
  </w:style>
  <w:style w:type="character" w:customStyle="1" w:styleId="35">
    <w:name w:val="标题 3 字符"/>
    <w:basedOn w:val="22"/>
    <w:link w:val="4"/>
    <w:qFormat/>
    <w:uiPriority w:val="0"/>
    <w:rPr>
      <w:rFonts w:eastAsia="仿宋" w:cstheme="minorBidi"/>
      <w:b/>
      <w:bCs/>
      <w:kern w:val="2"/>
      <w:sz w:val="32"/>
      <w:szCs w:val="32"/>
    </w:rPr>
  </w:style>
  <w:style w:type="character" w:customStyle="1" w:styleId="36">
    <w:name w:val="font11"/>
    <w:basedOn w:val="22"/>
    <w:qFormat/>
    <w:uiPriority w:val="0"/>
    <w:rPr>
      <w:rFonts w:hint="eastAsia" w:ascii="宋体" w:hAnsi="宋体" w:eastAsia="宋体" w:cs="宋体"/>
      <w:color w:val="000000"/>
      <w:sz w:val="20"/>
      <w:szCs w:val="20"/>
      <w:u w:val="none"/>
    </w:rPr>
  </w:style>
  <w:style w:type="character" w:customStyle="1" w:styleId="37">
    <w:name w:val="页脚 字符"/>
    <w:basedOn w:val="22"/>
    <w:link w:val="12"/>
    <w:qFormat/>
    <w:uiPriority w:val="99"/>
    <w:rPr>
      <w:rFonts w:eastAsia="仿宋"/>
      <w:kern w:val="2"/>
      <w:sz w:val="18"/>
      <w:szCs w:val="24"/>
    </w:rPr>
  </w:style>
  <w:style w:type="character" w:customStyle="1" w:styleId="38">
    <w:name w:val="脚注文本 字符"/>
    <w:basedOn w:val="22"/>
    <w:link w:val="16"/>
    <w:qFormat/>
    <w:uiPriority w:val="99"/>
    <w:rPr>
      <w:rFonts w:eastAsia="仿宋"/>
      <w:kern w:val="2"/>
      <w:sz w:val="18"/>
      <w:szCs w:val="18"/>
    </w:rPr>
  </w:style>
  <w:style w:type="paragraph" w:customStyle="1" w:styleId="39">
    <w:name w:val="列出段落11"/>
    <w:basedOn w:val="1"/>
    <w:qFormat/>
    <w:uiPriority w:val="34"/>
    <w:pPr>
      <w:ind w:firstLine="420"/>
    </w:pPr>
    <w:rPr>
      <w:rFonts w:eastAsia="仿宋_GB2312" w:cs="Times New Roman"/>
      <w:sz w:val="28"/>
      <w:szCs w:val="22"/>
    </w:rPr>
  </w:style>
  <w:style w:type="character" w:customStyle="1" w:styleId="40">
    <w:name w:val="正文文本缩进 2 字符"/>
    <w:link w:val="10"/>
    <w:qFormat/>
    <w:uiPriority w:val="0"/>
    <w:rPr>
      <w:rFonts w:eastAsia="仿宋"/>
      <w:kern w:val="2"/>
      <w:sz w:val="32"/>
      <w:szCs w:val="24"/>
    </w:rPr>
  </w:style>
  <w:style w:type="paragraph" w:customStyle="1" w:styleId="41">
    <w:name w:val="TOC 标题1"/>
    <w:basedOn w:val="2"/>
    <w:next w:val="1"/>
    <w:unhideWhenUsed/>
    <w:qFormat/>
    <w:uiPriority w:val="39"/>
    <w:pPr>
      <w:widowControl/>
      <w:spacing w:before="480" w:line="276" w:lineRule="auto"/>
      <w:ind w:firstLine="0" w:firstLineChars="0"/>
      <w:outlineLvl w:val="9"/>
    </w:pPr>
    <w:rPr>
      <w:rFonts w:asciiTheme="majorHAnsi" w:hAnsiTheme="majorHAnsi" w:eastAsiaTheme="majorEastAsia" w:cstheme="majorBidi"/>
      <w:snapToGrid/>
      <w:color w:val="2E75B6" w:themeColor="accent1" w:themeShade="BF"/>
      <w:sz w:val="28"/>
      <w:szCs w:val="28"/>
    </w:rPr>
  </w:style>
  <w:style w:type="character" w:customStyle="1" w:styleId="42">
    <w:name w:val="font01"/>
    <w:basedOn w:val="22"/>
    <w:qFormat/>
    <w:uiPriority w:val="0"/>
    <w:rPr>
      <w:rFonts w:hint="eastAsia" w:ascii="宋体" w:hAnsi="宋体" w:eastAsia="宋体" w:cs="宋体"/>
      <w:color w:val="000000"/>
      <w:sz w:val="24"/>
      <w:szCs w:val="24"/>
      <w:u w:val="none"/>
    </w:rPr>
  </w:style>
  <w:style w:type="character" w:customStyle="1" w:styleId="43">
    <w:name w:val="font21"/>
    <w:basedOn w:val="22"/>
    <w:qFormat/>
    <w:uiPriority w:val="0"/>
    <w:rPr>
      <w:rFonts w:hint="eastAsia" w:ascii="宋体" w:hAnsi="宋体" w:eastAsia="宋体" w:cs="宋体"/>
      <w:color w:val="000000"/>
      <w:sz w:val="24"/>
      <w:szCs w:val="24"/>
      <w:u w:val="none"/>
    </w:rPr>
  </w:style>
  <w:style w:type="paragraph" w:customStyle="1" w:styleId="44">
    <w:name w:val="修订1"/>
    <w:hidden/>
    <w:semiHidden/>
    <w:qFormat/>
    <w:uiPriority w:val="99"/>
    <w:rPr>
      <w:rFonts w:eastAsia="仿宋" w:asciiTheme="minorHAnsi" w:hAnsiTheme="minorHAnsi" w:cstheme="minorBidi"/>
      <w:kern w:val="2"/>
      <w:sz w:val="32"/>
      <w:szCs w:val="24"/>
      <w:lang w:val="en-US" w:eastAsia="zh-CN" w:bidi="ar-SA"/>
    </w:rPr>
  </w:style>
  <w:style w:type="character" w:customStyle="1" w:styleId="45">
    <w:name w:val="标题 4 字符"/>
    <w:basedOn w:val="22"/>
    <w:link w:val="5"/>
    <w:semiHidden/>
    <w:qFormat/>
    <w:uiPriority w:val="0"/>
    <w:rPr>
      <w:rFonts w:asciiTheme="majorHAnsi" w:hAnsiTheme="majorHAnsi" w:eastAsiaTheme="majorEastAsia" w:cstheme="majorBidi"/>
      <w:b/>
      <w:bCs/>
      <w:kern w:val="2"/>
      <w:sz w:val="28"/>
      <w:szCs w:val="28"/>
    </w:rPr>
  </w:style>
  <w:style w:type="paragraph" w:customStyle="1" w:styleId="46">
    <w:name w:val="TOC 标题2"/>
    <w:basedOn w:val="2"/>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 w:val="0"/>
      <w:bCs w:val="0"/>
      <w:snapToGrid/>
      <w:color w:val="2E75B6" w:themeColor="accent1" w:themeShade="BF"/>
      <w:szCs w:val="32"/>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9">
    <w:name w:val="修订2"/>
    <w:hidden/>
    <w:semiHidden/>
    <w:qFormat/>
    <w:uiPriority w:val="99"/>
    <w:rPr>
      <w:rFonts w:ascii="Times New Roman" w:hAnsi="Times New Roman" w:eastAsia="仿宋" w:cstheme="minorBidi"/>
      <w:kern w:val="2"/>
      <w:sz w:val="32"/>
      <w:szCs w:val="24"/>
      <w:lang w:val="en-US" w:eastAsia="zh-CN" w:bidi="ar-SA"/>
    </w:rPr>
  </w:style>
  <w:style w:type="paragraph" w:customStyle="1" w:styleId="50">
    <w:name w:val="p0"/>
    <w:basedOn w:val="1"/>
    <w:qFormat/>
    <w:uiPriority w:val="99"/>
    <w:pPr>
      <w:widowControl/>
    </w:pPr>
    <w:rPr>
      <w:kern w:val="0"/>
    </w:rPr>
  </w:style>
  <w:style w:type="character" w:customStyle="1" w:styleId="51">
    <w:name w:val="font41"/>
    <w:basedOn w:val="22"/>
    <w:qFormat/>
    <w:uiPriority w:val="0"/>
    <w:rPr>
      <w:rFonts w:ascii="仿宋" w:hAnsi="仿宋" w:eastAsia="仿宋" w:cs="仿宋"/>
      <w:color w:val="000000"/>
      <w:sz w:val="22"/>
      <w:szCs w:val="22"/>
      <w:u w:val="none"/>
    </w:rPr>
  </w:style>
  <w:style w:type="paragraph" w:customStyle="1" w:styleId="52">
    <w:name w:val="修订3"/>
    <w:hidden/>
    <w:semiHidden/>
    <w:qFormat/>
    <w:uiPriority w:val="99"/>
    <w:rPr>
      <w:rFonts w:ascii="Times New Roman" w:hAnsi="Times New Roman" w:eastAsia="仿宋" w:cstheme="minorBidi"/>
      <w:kern w:val="2"/>
      <w:sz w:val="32"/>
      <w:szCs w:val="24"/>
      <w:lang w:val="en-US" w:eastAsia="zh-CN" w:bidi="ar-SA"/>
    </w:rPr>
  </w:style>
  <w:style w:type="character" w:customStyle="1" w:styleId="53">
    <w:name w:val="NormalCharacter"/>
    <w:qFormat/>
    <w:uiPriority w:val="0"/>
    <w:rPr>
      <w:rFonts w:ascii="宋体" w:hAnsi="宋体" w:eastAsia="华文仿宋" w:cs="Times New Roman"/>
      <w:kern w:val="2"/>
      <w:sz w:val="32"/>
      <w:szCs w:val="32"/>
      <w:lang w:val="en-US" w:eastAsia="zh-CN" w:bidi="ar-SA"/>
    </w:rPr>
  </w:style>
  <w:style w:type="paragraph" w:customStyle="1" w:styleId="54">
    <w:name w:val="Revision"/>
    <w:hidden/>
    <w:semiHidden/>
    <w:qFormat/>
    <w:uiPriority w:val="99"/>
    <w:rPr>
      <w:rFonts w:ascii="Times New Roman" w:hAnsi="Times New Roman" w:eastAsia="仿宋" w:cstheme="minorBidi"/>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2867</Words>
  <Characters>16347</Characters>
  <Lines>136</Lines>
  <Paragraphs>38</Paragraphs>
  <TotalTime>74</TotalTime>
  <ScaleCrop>false</ScaleCrop>
  <LinksUpToDate>false</LinksUpToDate>
  <CharactersWithSpaces>19176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2023-05-20T09:18:00Z</dcterms:created>
  <dc:creator>licl</dc:creator>
  <cp:lastModifiedBy>uos</cp:lastModifiedBy>
  <cp:lastPrinted>2023-08-25T12:35:41Z</cp:lastPrinted>
  <dcterms:modified xsi:type="dcterms:W3CDTF">2023-08-25T12:37:03Z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4E09FCD4E2C60B4E160FE76493E40308_43</vt:lpwstr>
  </property>
</Properties>
</file>