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方正小标宋简体" w:eastAsia="方正小标宋简体" w:cs="方正小标宋简体"/>
          <w:bCs/>
          <w:color w:val="000000"/>
          <w:sz w:val="44"/>
          <w:szCs w:val="44"/>
          <w:lang w:bidi="ar"/>
        </w:rPr>
      </w:pPr>
      <w:r>
        <w:rPr>
          <w:rFonts w:hint="eastAsia" w:ascii="方正小标宋简体" w:hAnsi="方正小标宋简体" w:eastAsia="方正小标宋简体" w:cs="方正小标宋简体"/>
          <w:bCs/>
          <w:color w:val="000000"/>
          <w:sz w:val="44"/>
          <w:szCs w:val="44"/>
          <w:lang w:bidi="ar"/>
        </w:rPr>
        <w:t>北京福利彩票发行中心</w:t>
      </w:r>
    </w:p>
    <w:p>
      <w:pPr>
        <w:widowControl/>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color w:val="000000"/>
          <w:sz w:val="44"/>
          <w:szCs w:val="44"/>
          <w:lang w:bidi="ar"/>
        </w:rPr>
        <w:t>2022年部门整体绩效评价报告</w:t>
      </w:r>
    </w:p>
    <w:p>
      <w:pPr>
        <w:ind w:firstLine="420" w:firstLineChars="200"/>
        <w:jc w:val="center"/>
        <w:rPr>
          <w:rFonts w:ascii="仿宋_GB2312"/>
          <w:szCs w:val="30"/>
        </w:rPr>
      </w:pPr>
    </w:p>
    <w:p>
      <w:pPr>
        <w:ind w:firstLine="420" w:firstLineChars="200"/>
        <w:jc w:val="center"/>
        <w:rPr>
          <w:rFonts w:ascii="仿宋_GB2312"/>
          <w:szCs w:val="30"/>
        </w:rPr>
      </w:pPr>
    </w:p>
    <w:p>
      <w:pPr>
        <w:spacing w:line="560" w:lineRule="exact"/>
        <w:outlineLvl w:val="0"/>
        <w:rPr>
          <w:rFonts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 xml:space="preserve">    一、部门概况</w:t>
      </w:r>
    </w:p>
    <w:p>
      <w:pPr>
        <w:spacing w:line="560" w:lineRule="exact"/>
        <w:ind w:firstLine="707" w:firstLineChars="221"/>
        <w:rPr>
          <w:rFonts w:ascii="仿宋_GB2312" w:hAnsi="仿宋_GB2312" w:eastAsia="仿宋_GB2312" w:cs="仿宋_GB2312"/>
          <w:b/>
          <w:bCs/>
          <w:color w:val="000000"/>
          <w:kern w:val="0"/>
          <w:sz w:val="32"/>
          <w:szCs w:val="32"/>
        </w:rPr>
      </w:pPr>
      <w:r>
        <w:rPr>
          <w:rFonts w:hint="eastAsia" w:ascii="仿宋_GB2312" w:hAnsi="仿宋_GB2312" w:eastAsia="仿宋_GB2312" w:cs="仿宋_GB2312"/>
          <w:sz w:val="32"/>
          <w:szCs w:val="32"/>
        </w:rPr>
        <w:t>（一）机构设置及职责工作任务情况</w:t>
      </w:r>
    </w:p>
    <w:p>
      <w:pPr>
        <w:spacing w:line="560" w:lineRule="exact"/>
        <w:ind w:firstLine="707" w:firstLineChars="221"/>
        <w:rPr>
          <w:rFonts w:ascii="仿宋_GB2312" w:hAnsi="仿宋_GB2312" w:eastAsia="仿宋_GB2312" w:cs="仿宋_GB2312"/>
          <w:b/>
          <w:bCs/>
          <w:color w:val="000000"/>
          <w:kern w:val="0"/>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机构设置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北京市福利彩票发行中心</w:t>
      </w:r>
      <w:r>
        <w:rPr>
          <w:rFonts w:hint="eastAsia" w:ascii="仿宋_GB2312" w:hAnsi="仿宋_GB2312" w:eastAsia="仿宋_GB2312" w:cs="仿宋_GB2312"/>
          <w:color w:val="000000"/>
          <w:kern w:val="0"/>
          <w:sz w:val="32"/>
          <w:szCs w:val="32"/>
        </w:rPr>
        <w:t>（以下简称“市福彩中心”）为财政补助（公益二类）事业单位</w:t>
      </w:r>
      <w:r>
        <w:rPr>
          <w:rFonts w:hint="eastAsia" w:ascii="仿宋_GB2312" w:hAnsi="仿宋_GB2312" w:eastAsia="仿宋_GB2312" w:cs="仿宋_GB2312"/>
          <w:sz w:val="32"/>
          <w:szCs w:val="32"/>
        </w:rPr>
        <w:t>，部门事业编制80人，2022年末在职人员68人。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市福彩中心</w:t>
      </w:r>
      <w:r>
        <w:rPr>
          <w:rFonts w:hint="eastAsia" w:ascii="仿宋_GB2312" w:hAnsi="仿宋_GB2312" w:eastAsia="仿宋_GB2312" w:cs="仿宋_GB2312"/>
          <w:sz w:val="32"/>
          <w:szCs w:val="32"/>
        </w:rPr>
        <w:t>下设15个部门，分别为办公室、资金管理部、市场管理一部、市场管理二部、市场管理三部、技术管理部、项目管理部、组织人事部、后勤和资产管理部、区域销售一部、区域销售二部、区域销售三部、区域销售四部、区域销售五部、区域销售六部。</w:t>
      </w:r>
    </w:p>
    <w:p>
      <w:pPr>
        <w:spacing w:line="560" w:lineRule="exact"/>
        <w:ind w:firstLine="640" w:firstLineChars="200"/>
        <w:outlineLvl w:val="2"/>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2.工作职责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市福彩中心是主要负责全市福利彩票销售工作，筹集社会公益金。具体包括：按照中国福利彩票发行管理中心有关福利彩票发行、销售和中奖规则的规定，在北京市销售福利彩票，并组织、检查、监督全市网点的销售活动，按规定收缴各项资金等。</w:t>
      </w:r>
    </w:p>
    <w:p>
      <w:pPr>
        <w:spacing w:line="560" w:lineRule="exact"/>
        <w:ind w:firstLine="640" w:firstLineChars="200"/>
        <w:outlineLvl w:val="1"/>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（二）部门整体绩效目标设立情况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市福彩中心2022年</w:t>
      </w:r>
      <w:r>
        <w:rPr>
          <w:rFonts w:hint="eastAsia" w:ascii="仿宋_GB2312" w:hAnsi="仿宋_GB2312" w:eastAsia="仿宋_GB2312" w:cs="仿宋_GB2312"/>
          <w:sz w:val="32"/>
          <w:szCs w:val="32"/>
        </w:rPr>
        <w:t>严格资金管理，规范彩票市场，推进全国统一销售系统的建设准备工作，加强公益宣传，提升服务水平，激发市场活力，促进销量稳步增长。</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2022年全年福利彩票销售任务为34.05亿元；预计筹集市级公益金5.55亿元，专项用于社会福利等公益事业的资金支持。</w:t>
      </w:r>
    </w:p>
    <w:p>
      <w:pPr>
        <w:spacing w:line="560" w:lineRule="exact"/>
        <w:ind w:firstLine="645"/>
        <w:outlineLvl w:val="0"/>
        <w:rPr>
          <w:rFonts w:ascii="黑体" w:hAnsi="黑体" w:eastAsia="黑体" w:cs="黑体"/>
          <w:color w:val="000000"/>
          <w:kern w:val="0"/>
          <w:sz w:val="32"/>
          <w:szCs w:val="32"/>
        </w:rPr>
      </w:pPr>
      <w:r>
        <w:rPr>
          <w:rFonts w:hint="eastAsia" w:ascii="黑体" w:hAnsi="黑体" w:eastAsia="黑体" w:cs="黑体"/>
          <w:color w:val="000000"/>
          <w:kern w:val="0"/>
          <w:sz w:val="32"/>
          <w:szCs w:val="32"/>
        </w:rPr>
        <w:t>二、当年预算执行情况</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2022年全年预算数15675.82万元，其中，基本支出预算数2490.22万元，项目支出预算数13185.60万元。资金总体支出15432.07万元，其中，基本支出2436.60万元，项目支出12995.47万元。预算执行率为98.45%</w:t>
      </w:r>
      <w:r>
        <w:rPr>
          <w:rFonts w:hint="eastAsia" w:ascii="仿宋_GB2312" w:hAnsi="仿宋_GB2312" w:eastAsia="仿宋_GB2312" w:cs="仿宋_GB2312"/>
          <w:kern w:val="0"/>
          <w:sz w:val="32"/>
          <w:szCs w:val="32"/>
        </w:rPr>
        <w:t>。</w:t>
      </w:r>
    </w:p>
    <w:p>
      <w:pPr>
        <w:spacing w:line="560" w:lineRule="exact"/>
        <w:outlineLvl w:val="0"/>
        <w:rPr>
          <w:rFonts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 xml:space="preserve">    三、整体绩效目标实现情况</w:t>
      </w:r>
    </w:p>
    <w:p>
      <w:pPr>
        <w:spacing w:line="560" w:lineRule="exact"/>
        <w:ind w:firstLine="640" w:firstLineChars="200"/>
        <w:outlineLvl w:val="1"/>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（一）产出完成情况分析</w:t>
      </w:r>
    </w:p>
    <w:p>
      <w:pPr>
        <w:spacing w:line="560" w:lineRule="exact"/>
        <w:ind w:left="640"/>
        <w:outlineLvl w:val="2"/>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1.产出数量</w:t>
      </w:r>
    </w:p>
    <w:p>
      <w:pPr>
        <w:pStyle w:val="2"/>
        <w:spacing w:line="560" w:lineRule="exact"/>
        <w:ind w:firstLine="64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2022年度市福彩中心进一步提升服务水平，加强公益宣传，激发市场活力，促进销量稳步增长。</w:t>
      </w:r>
    </w:p>
    <w:p>
      <w:pPr>
        <w:pStyle w:val="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（1）彩票销售额。为全力完成彩票销售目标，做好公益金募集工作，市福彩中心深入研究政策环境、管理要求、产品市场反应等因素，根据销售目标统筹资源，优化流程，扩大营销范围，</w:t>
      </w:r>
      <w:r>
        <w:rPr>
          <w:rFonts w:hint="eastAsia" w:ascii="仿宋_GB2312" w:hAnsi="仿宋_GB2312" w:eastAsia="仿宋_GB2312" w:cs="仿宋_GB2312"/>
          <w:sz w:val="32"/>
          <w:szCs w:val="32"/>
        </w:rPr>
        <w:t>2022</w:t>
      </w:r>
      <w:r>
        <w:rPr>
          <w:rFonts w:hint="eastAsia" w:ascii="仿宋_GB2312" w:hAnsi="仿宋_GB2312" w:eastAsia="仿宋_GB2312" w:cs="仿宋_GB2312"/>
          <w:color w:val="000000"/>
          <w:kern w:val="0"/>
          <w:sz w:val="32"/>
          <w:szCs w:val="32"/>
        </w:rPr>
        <w:t>年度全市福彩销量</w:t>
      </w:r>
      <w:r>
        <w:rPr>
          <w:rFonts w:hint="eastAsia" w:ascii="仿宋_GB2312" w:hAnsi="仿宋_GB2312" w:eastAsia="仿宋_GB2312" w:cs="仿宋_GB2312"/>
          <w:sz w:val="32"/>
          <w:szCs w:val="32"/>
        </w:rPr>
        <w:t>35.82亿元，预算销售</w:t>
      </w:r>
      <w:r>
        <w:rPr>
          <w:rFonts w:ascii="仿宋_GB2312" w:hAnsi="仿宋_GB2312" w:eastAsia="仿宋_GB2312" w:cs="仿宋_GB2312"/>
          <w:sz w:val="32"/>
          <w:szCs w:val="32"/>
        </w:rPr>
        <w:t>任务</w:t>
      </w:r>
      <w:r>
        <w:rPr>
          <w:rFonts w:hint="eastAsia" w:ascii="仿宋_GB2312" w:hAnsi="仿宋_GB2312" w:eastAsia="仿宋_GB2312" w:cs="仿宋_GB2312"/>
          <w:sz w:val="32"/>
          <w:szCs w:val="32"/>
        </w:rPr>
        <w:t>34.05亿元，完成率为105.20%。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（2）筹集业务费收入。2022年市福彩中心筹集本级业务费收入1.65亿元，预估筹集本级业务费1.49亿元，完成率为110.74%。</w:t>
      </w:r>
    </w:p>
    <w:p>
      <w:pPr>
        <w:pStyle w:val="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（3）筹集公益金。2022年市福彩中心筹集市级公益金6.09亿</w:t>
      </w:r>
      <w:r>
        <w:rPr>
          <w:rFonts w:hint="eastAsia" w:ascii="仿宋_GB2312" w:hAnsi="仿宋_GB2312" w:eastAsia="仿宋_GB2312" w:cs="仿宋_GB2312"/>
          <w:sz w:val="32"/>
          <w:szCs w:val="32"/>
        </w:rPr>
        <w:t>元，预估筹集市级公益金5.55亿元，完成率为109.68%。</w:t>
      </w:r>
    </w:p>
    <w:p>
      <w:pPr>
        <w:spacing w:line="560" w:lineRule="exact"/>
        <w:ind w:left="105" w:leftChars="50"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4）销售站数量。2022年市福彩中心通过调整基层服务体系，优化销售渠道管理模式，拓展渠道类型，实施销售站征召制，编写渠道拓展宣传手册，探索与北京地区中石油建立合作关系等新模式；拓展双机店和销售空白区域，通过巡查发现销售空白区域，在微信订阅号服务号发布信息、上线“销售站设立申请”功能，</w:t>
      </w:r>
      <w:r>
        <w:rPr>
          <w:rFonts w:hint="eastAsia" w:ascii="仿宋_GB2312" w:hAnsi="仿宋_GB2312" w:eastAsia="仿宋_GB2312" w:cs="仿宋_GB2312"/>
          <w:sz w:val="32"/>
          <w:szCs w:val="32"/>
          <w:lang w:eastAsia="zh-CN"/>
        </w:rPr>
        <w:t>方便市民</w:t>
      </w:r>
      <w:r>
        <w:rPr>
          <w:rFonts w:hint="eastAsia" w:ascii="仿宋_GB2312" w:hAnsi="仿宋_GB2312" w:eastAsia="仿宋_GB2312" w:cs="仿宋_GB2312"/>
          <w:sz w:val="32"/>
          <w:szCs w:val="32"/>
        </w:rPr>
        <w:t>申请</w:t>
      </w:r>
      <w:r>
        <w:rPr>
          <w:rFonts w:hint="eastAsia" w:ascii="仿宋_GB2312" w:hAnsi="仿宋_GB2312" w:eastAsia="仿宋_GB2312" w:cs="仿宋_GB2312"/>
          <w:sz w:val="32"/>
          <w:szCs w:val="32"/>
          <w:lang w:eastAsia="zh-CN"/>
        </w:rPr>
        <w:t>设立销售</w:t>
      </w:r>
      <w:r>
        <w:rPr>
          <w:rFonts w:hint="eastAsia" w:ascii="仿宋_GB2312" w:hAnsi="仿宋_GB2312" w:eastAsia="仿宋_GB2312" w:cs="仿宋_GB2312"/>
          <w:sz w:val="32"/>
          <w:szCs w:val="32"/>
        </w:rPr>
        <w:t>。全年新增销售站点374个，年底全市站点总数达到2896个，增长率为14.83%。</w:t>
      </w:r>
    </w:p>
    <w:p>
      <w:pPr>
        <w:spacing w:line="560" w:lineRule="exact"/>
        <w:ind w:left="64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w:t>
      </w:r>
    </w:p>
    <w:p>
      <w:pPr>
        <w:spacing w:line="560" w:lineRule="exact"/>
        <w:ind w:left="105" w:leftChars="50"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2022年市福彩中心各项工作质量完成较好，营销活动情况达到预期目标，彩票</w:t>
      </w:r>
      <w:r>
        <w:rPr>
          <w:rFonts w:hint="eastAsia" w:ascii="仿宋_GB2312" w:hAnsi="仿宋_GB2312" w:eastAsia="仿宋_GB2312" w:cs="仿宋_GB2312"/>
          <w:sz w:val="32"/>
          <w:szCs w:val="32"/>
          <w:lang w:eastAsia="zh-CN"/>
        </w:rPr>
        <w:t>销售</w:t>
      </w:r>
      <w:r>
        <w:rPr>
          <w:rFonts w:hint="eastAsia" w:ascii="仿宋_GB2312" w:hAnsi="仿宋_GB2312" w:eastAsia="仿宋_GB2312" w:cs="仿宋_GB2312"/>
          <w:sz w:val="32"/>
          <w:szCs w:val="32"/>
        </w:rPr>
        <w:t>系统稳定、安全运行率、采购专用设备、软件质量合格率均达到目标要求，保障彩票销售业务正常运行，为实现销售目标奠定了良好基础。</w:t>
      </w:r>
    </w:p>
    <w:p>
      <w:pPr>
        <w:pStyle w:val="2"/>
        <w:spacing w:line="560" w:lineRule="exact"/>
        <w:ind w:firstLine="640"/>
        <w:rPr>
          <w:rFonts w:ascii="仿宋_GB2312" w:hAnsi="仿宋_GB2312" w:eastAsia="仿宋_GB2312" w:cs="仿宋_GB2312"/>
          <w:color w:val="000000"/>
          <w:kern w:val="0"/>
          <w:sz w:val="32"/>
          <w:szCs w:val="32"/>
          <w:highlight w:val="yellow"/>
        </w:rPr>
      </w:pPr>
      <w:r>
        <w:rPr>
          <w:rFonts w:hint="eastAsia" w:ascii="仿宋_GB2312" w:hAnsi="仿宋_GB2312" w:eastAsia="仿宋_GB2312" w:cs="仿宋_GB2312"/>
          <w:color w:val="000000"/>
          <w:kern w:val="0"/>
          <w:sz w:val="32"/>
          <w:szCs w:val="32"/>
        </w:rPr>
        <w:t>（1）营销活动情况。2022年市福彩中心积极配合中福彩中心开展“快乐8”、“送你一朵小红花”、“喜相逢”等营销活动，不间断地开展了两期4次即开票和电脑票营销活动。通过营销活动有效拉动游戏销量，新游戏“快乐8”销量较2021年同期上涨62.57%，地方特色即开票“北京发现”活动期间，即开票销量较2021年同期上涨42.15%。牵头印发2022年度社会责任报告，开展福彩进社区公益活动50场，持续提升福彩影响力。</w:t>
      </w:r>
    </w:p>
    <w:p>
      <w:pPr>
        <w:spacing w:line="560" w:lineRule="exact"/>
        <w:ind w:firstLine="640" w:firstLineChars="200"/>
        <w:rPr>
          <w:rFonts w:ascii="仿宋_GB2312" w:hAnsi="仿宋_GB2312" w:eastAsia="仿宋_GB2312" w:cs="仿宋_GB2312"/>
          <w:color w:val="000000"/>
          <w:kern w:val="0"/>
          <w:sz w:val="32"/>
          <w:szCs w:val="32"/>
          <w:highlight w:val="yellow"/>
        </w:rPr>
      </w:pPr>
      <w:r>
        <w:rPr>
          <w:rFonts w:hint="eastAsia" w:ascii="仿宋_GB2312" w:hAnsi="仿宋_GB2312" w:eastAsia="仿宋_GB2312" w:cs="仿宋_GB2312"/>
          <w:sz w:val="32"/>
          <w:szCs w:val="32"/>
        </w:rPr>
        <w:t>（2）彩票</w:t>
      </w:r>
      <w:r>
        <w:rPr>
          <w:rFonts w:hint="eastAsia" w:ascii="仿宋_GB2312" w:hAnsi="仿宋_GB2312" w:eastAsia="仿宋_GB2312" w:cs="仿宋_GB2312"/>
          <w:sz w:val="32"/>
          <w:szCs w:val="32"/>
          <w:lang w:eastAsia="zh-CN"/>
        </w:rPr>
        <w:t>销售</w:t>
      </w:r>
      <w:r>
        <w:rPr>
          <w:rFonts w:hint="eastAsia" w:ascii="仿宋_GB2312" w:hAnsi="仿宋_GB2312" w:eastAsia="仿宋_GB2312" w:cs="仿宋_GB2312"/>
          <w:sz w:val="32"/>
          <w:szCs w:val="32"/>
        </w:rPr>
        <w:t>系统稳定、安全运行率。2022年市福彩中心以确保销售系统平稳运行和销售数据归集、传输无故障为目标，维护系统安全稳定运行。</w:t>
      </w:r>
      <w:r>
        <w:rPr>
          <w:rFonts w:hint="eastAsia" w:ascii="仿宋_GB2312" w:hAnsi="仿宋_GB2312" w:eastAsia="仿宋_GB2312" w:cs="仿宋_GB2312"/>
          <w:color w:val="000000"/>
          <w:kern w:val="0"/>
          <w:sz w:val="32"/>
          <w:szCs w:val="32"/>
        </w:rPr>
        <w:t>一是实现销售系统7*24小时不间断安全运行管理，销售数据、监管数据和开奖数据安全上传0延迟、0失误，定期开展销售系统渗透、漏扫等介入监测工作，对基础设施、供电设备等实行全年无间断安全巡查，保障销售系统安全运行。二是制定并完善销售站巡查管理工作规范，优化“阳光福彩”服务平台，将日常管理、防疫排查、销售培训、市场调研和销售服务等工作，纳入巡查任务累计巡查1.8万余站次，解决安全隐患，维护市场秩序。彩票系统稳定、安全运行率100%。</w:t>
      </w:r>
    </w:p>
    <w:p>
      <w:pPr>
        <w:pStyle w:val="2"/>
        <w:spacing w:line="560" w:lineRule="exact"/>
        <w:ind w:firstLine="640"/>
        <w:rPr>
          <w:rFonts w:ascii="仿宋_GB2312" w:hAnsi="仿宋_GB2312" w:eastAsia="仿宋_GB2312" w:cs="仿宋_GB2312"/>
          <w:color w:val="000000"/>
          <w:kern w:val="0"/>
          <w:sz w:val="32"/>
          <w:szCs w:val="32"/>
          <w:highlight w:val="yellow"/>
        </w:rPr>
      </w:pPr>
      <w:r>
        <w:rPr>
          <w:rFonts w:hint="eastAsia" w:ascii="仿宋_GB2312" w:hAnsi="仿宋_GB2312" w:eastAsia="仿宋_GB2312" w:cs="仿宋_GB2312"/>
          <w:color w:val="000000"/>
          <w:kern w:val="0"/>
          <w:sz w:val="32"/>
          <w:szCs w:val="32"/>
        </w:rPr>
        <w:t>（3）采购专用设备、软件质量合格率。2022年市福彩中心坚持机房运行标准化管理，强化等保三级及机房质量认证体系的监测标准，完成监控系统的优化升级，不断强化设施、设备、网络通讯运营管理水平。做好全国福利彩票统一销售系统工作，作为中国福利彩票统一发行销售管理系统的首批试点单位，参与中福彩中心需求调研和概要设计，开展统一系统建设的技术和系统改造准备工作。采购专用设备、软件质量合格率达到100%</w:t>
      </w:r>
    </w:p>
    <w:p>
      <w:pPr>
        <w:spacing w:line="560" w:lineRule="exact"/>
        <w:ind w:left="640"/>
        <w:outlineLvl w:val="2"/>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3.产出进度</w:t>
      </w:r>
    </w:p>
    <w:p>
      <w:pPr>
        <w:pStyle w:val="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（1）重点项目执行进度情况。2022年市福彩中心制定项目采购监督检查实施细则等，进一步加强项目过程管理。从项目需求制定入手，启动采购程序前进</w:t>
      </w:r>
      <w:r>
        <w:rPr>
          <w:rFonts w:hint="eastAsia" w:ascii="仿宋_GB2312" w:hAnsi="仿宋_GB2312" w:eastAsia="仿宋_GB2312" w:cs="仿宋_GB2312"/>
          <w:color w:val="000000"/>
          <w:kern w:val="0"/>
          <w:sz w:val="32"/>
          <w:szCs w:val="32"/>
        </w:rPr>
        <w:t>行详细的绩效目标确定和成本核算，避免财政资金浪费风险。实现合同签订流程电子化，全程留痕便于监管。对项目实施过程监督和绩效评价，定期听取重点项目阶段性情况汇报，对新媒体运营及制作项目 、“阳光福彩”动态管控建设体系服务项目、户外电视媒体配套播出项目、电脑票市场营销项目 4个项目进行全程跟踪评价，对8个100万以上服务类项目开展项目审计监督，保证了项目实施的规范有效。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益金、业务费上缴进度。2022年度市福彩中心均按规定计提公益金和业务费，并在规定的每月15日前足额上缴上月提取的公益金和业务费，无拖欠情况。全年上缴公益金119897.71万元，其中，上缴财政部北京监管局中央级公益金59026.44万元，上缴市财政本级公益金60871.27万元（含弃奖1844.82万元）。2022年上缴本级业务费16466.43万元，上缴中彩中心业务费3404.50万元。</w:t>
      </w:r>
    </w:p>
    <w:p>
      <w:pPr>
        <w:spacing w:line="560" w:lineRule="exact"/>
        <w:ind w:left="643"/>
        <w:outlineLvl w:val="2"/>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 xml:space="preserve">产出成本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市福彩中心严格执行《彩票管理条例》《彩票条例实施细则》《政府会计制度》及《事业单位财务规则》等相关制度规定，将各项支出严格控制在预算范围之内，各项支出严格履行内控管理流程，及时、真实、准确编报决算，确保资金使用安全、规范、有效。根据中共中央国务院和北京市委市政府全面实施预算绩效管理的要求，建立绩效评估机制，加强新增重点项目预算审核；强化绩效目标管理，分解细化各项工作要求，结合本地区本部门实际情况，全面设置部门整体绩效目标、项目绩效目标；做好绩效运行监控，建立重点项目绩效跟踪机制，发现问题及时纠正，确保绩效目标如期保质保量实现；对预算执行情况开展绩效评价，健全绩效评价结果反馈制度和绩效问题整改责任制，加强绩效评价结果应用，切实提高财政资金使用效益和效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基本经费支出控制率。牢固树立过紧日子的思想，统筹疫情防控和福彩事业发展，从严控制经费，压缩非刚性公用支出。2022年度基本经费支出预算数2,490.22万元，实际支出2,436.60万元，控制率为97.85%。其中，人员经费预算数2,188.07万元，实际支出数2,188.07万元，控制率为100%；公用经费预算数302.15万元，实际支出数248.53万元，控制率为82.25%。</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（2）项目经费支出控制率。</w:t>
      </w:r>
      <w:r>
        <w:rPr>
          <w:rFonts w:hint="eastAsia" w:ascii="仿宋_GB2312" w:hAnsi="仿宋_GB2312" w:eastAsia="仿宋_GB2312" w:cs="仿宋_GB2312"/>
          <w:sz w:val="32"/>
          <w:szCs w:val="32"/>
        </w:rPr>
        <w:t>在预算执行过程中按照“科学使用，厉行节约”的原则调减非必要项目支出。2022年度</w:t>
      </w:r>
      <w:r>
        <w:rPr>
          <w:rFonts w:hint="eastAsia" w:ascii="仿宋_GB2312" w:hAnsi="仿宋_GB2312" w:eastAsia="仿宋_GB2312" w:cs="仿宋_GB2312"/>
          <w:color w:val="000000"/>
          <w:kern w:val="0"/>
          <w:sz w:val="32"/>
          <w:szCs w:val="32"/>
        </w:rPr>
        <w:t>项目支出预算数13,185.6万元，</w:t>
      </w:r>
      <w:r>
        <w:rPr>
          <w:rFonts w:hint="eastAsia" w:ascii="仿宋_GB2312" w:hAnsi="仿宋_GB2312" w:eastAsia="仿宋_GB2312" w:cs="仿宋_GB2312"/>
          <w:sz w:val="32"/>
          <w:szCs w:val="32"/>
        </w:rPr>
        <w:t>实际支出12,995.47万元，控制率为98.56%。</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三公”经费支出控制率。贯彻落实中央八项规定精神和有关要求，持续从严控制和压缩“三公”经费支出，2022年“三公”经费支出预算数7.53万元，实际支出1.06万元，控制率为14.08%，与2021年度相比，“三公”经费支出继续呈下降态势，厉行节约效果明显。</w:t>
      </w:r>
    </w:p>
    <w:p>
      <w:pPr>
        <w:spacing w:line="560" w:lineRule="exact"/>
        <w:rPr>
          <w:rFonts w:ascii="仿宋_GB2312" w:hAnsi="仿宋_GB2312" w:eastAsia="仿宋_GB2312" w:cs="仿宋_GB2312"/>
          <w:b/>
          <w:sz w:val="32"/>
          <w:szCs w:val="32"/>
        </w:rPr>
      </w:pPr>
      <w:r>
        <w:rPr>
          <w:rFonts w:hint="eastAsia" w:ascii="仿宋_GB2312" w:hAnsi="仿宋_GB2312" w:eastAsia="仿宋_GB2312" w:cs="仿宋_GB2312"/>
          <w:b/>
          <w:sz w:val="32"/>
          <w:szCs w:val="32"/>
        </w:rPr>
        <w:t xml:space="preserve">     2022年“三公”经费预、决算支出对比表</w:t>
      </w:r>
    </w:p>
    <w:p>
      <w:pPr>
        <w:widowControl/>
        <w:spacing w:line="560" w:lineRule="exact"/>
        <w:ind w:firstLine="640" w:firstLineChars="200"/>
        <w:jc w:val="center"/>
        <w:textAlignment w:val="center"/>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单位：万元</w:t>
      </w:r>
    </w:p>
    <w:tbl>
      <w:tblPr>
        <w:tblStyle w:val="18"/>
        <w:tblW w:w="814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18"/>
        <w:gridCol w:w="1552"/>
        <w:gridCol w:w="1463"/>
        <w:gridCol w:w="1487"/>
        <w:gridCol w:w="1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9" w:hRule="atLeast"/>
          <w:jc w:val="center"/>
        </w:trPr>
        <w:tc>
          <w:tcPr>
            <w:tcW w:w="2118" w:type="dxa"/>
            <w:tcBorders>
              <w:tl2br w:val="nil"/>
              <w:tr2bl w:val="nil"/>
            </w:tcBorders>
            <w:shd w:val="clear" w:color="auto" w:fill="auto"/>
            <w:vAlign w:val="center"/>
          </w:tcPr>
          <w:p>
            <w:pPr>
              <w:widowControl/>
              <w:spacing w:line="560" w:lineRule="exact"/>
              <w:ind w:firstLine="482" w:firstLineChars="200"/>
              <w:jc w:val="lef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项目名称</w:t>
            </w:r>
          </w:p>
        </w:tc>
        <w:tc>
          <w:tcPr>
            <w:tcW w:w="1552"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预算支出</w:t>
            </w:r>
          </w:p>
        </w:tc>
        <w:tc>
          <w:tcPr>
            <w:tcW w:w="1463"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实际支出</w:t>
            </w:r>
          </w:p>
        </w:tc>
        <w:tc>
          <w:tcPr>
            <w:tcW w:w="1487"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超预算额</w:t>
            </w:r>
          </w:p>
        </w:tc>
        <w:tc>
          <w:tcPr>
            <w:tcW w:w="1527"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超预算比例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9" w:hRule="atLeast"/>
          <w:jc w:val="center"/>
        </w:trPr>
        <w:tc>
          <w:tcPr>
            <w:tcW w:w="2118"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因公出国（境）费</w:t>
            </w:r>
          </w:p>
        </w:tc>
        <w:tc>
          <w:tcPr>
            <w:tcW w:w="1552"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0.00 </w:t>
            </w:r>
          </w:p>
        </w:tc>
        <w:tc>
          <w:tcPr>
            <w:tcW w:w="1463"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0.00 </w:t>
            </w:r>
          </w:p>
        </w:tc>
        <w:tc>
          <w:tcPr>
            <w:tcW w:w="1487"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0.00 </w:t>
            </w:r>
          </w:p>
        </w:tc>
        <w:tc>
          <w:tcPr>
            <w:tcW w:w="1527"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9" w:hRule="atLeast"/>
          <w:jc w:val="center"/>
        </w:trPr>
        <w:tc>
          <w:tcPr>
            <w:tcW w:w="2118"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公务接待费</w:t>
            </w:r>
          </w:p>
        </w:tc>
        <w:tc>
          <w:tcPr>
            <w:tcW w:w="1552"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2.34 </w:t>
            </w:r>
          </w:p>
        </w:tc>
        <w:tc>
          <w:tcPr>
            <w:tcW w:w="1463"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0.00 </w:t>
            </w:r>
          </w:p>
        </w:tc>
        <w:tc>
          <w:tcPr>
            <w:tcW w:w="1487"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-2.34 </w:t>
            </w:r>
          </w:p>
        </w:tc>
        <w:tc>
          <w:tcPr>
            <w:tcW w:w="1527"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  -100.00%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9" w:hRule="atLeast"/>
          <w:jc w:val="center"/>
        </w:trPr>
        <w:tc>
          <w:tcPr>
            <w:tcW w:w="2118"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公务用车运行维护费</w:t>
            </w:r>
          </w:p>
        </w:tc>
        <w:tc>
          <w:tcPr>
            <w:tcW w:w="1552"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5.19 </w:t>
            </w:r>
          </w:p>
        </w:tc>
        <w:tc>
          <w:tcPr>
            <w:tcW w:w="1463"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1.06 </w:t>
            </w:r>
          </w:p>
        </w:tc>
        <w:tc>
          <w:tcPr>
            <w:tcW w:w="1487"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-4.13 </w:t>
            </w:r>
          </w:p>
        </w:tc>
        <w:tc>
          <w:tcPr>
            <w:tcW w:w="1527"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  -79.58%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9" w:hRule="atLeast"/>
          <w:jc w:val="center"/>
        </w:trPr>
        <w:tc>
          <w:tcPr>
            <w:tcW w:w="2118"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公务用车购置费</w:t>
            </w:r>
          </w:p>
        </w:tc>
        <w:tc>
          <w:tcPr>
            <w:tcW w:w="1552"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0.00 </w:t>
            </w:r>
          </w:p>
        </w:tc>
        <w:tc>
          <w:tcPr>
            <w:tcW w:w="1463"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0.00 </w:t>
            </w:r>
          </w:p>
        </w:tc>
        <w:tc>
          <w:tcPr>
            <w:tcW w:w="1487"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0.00 </w:t>
            </w:r>
          </w:p>
        </w:tc>
        <w:tc>
          <w:tcPr>
            <w:tcW w:w="1527"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  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9" w:hRule="atLeast"/>
          <w:jc w:val="center"/>
        </w:trPr>
        <w:tc>
          <w:tcPr>
            <w:tcW w:w="2118"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金额合计</w:t>
            </w:r>
          </w:p>
        </w:tc>
        <w:tc>
          <w:tcPr>
            <w:tcW w:w="1552"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7.53 </w:t>
            </w:r>
          </w:p>
        </w:tc>
        <w:tc>
          <w:tcPr>
            <w:tcW w:w="1463"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1.06 </w:t>
            </w:r>
          </w:p>
        </w:tc>
        <w:tc>
          <w:tcPr>
            <w:tcW w:w="1487" w:type="dxa"/>
            <w:tcBorders>
              <w:tl2br w:val="nil"/>
              <w:tr2bl w:val="nil"/>
            </w:tcBorders>
            <w:shd w:val="clear" w:color="auto" w:fill="auto"/>
            <w:vAlign w:val="center"/>
          </w:tcPr>
          <w:p>
            <w:pPr>
              <w:widowControl/>
              <w:spacing w:line="560" w:lineRule="exact"/>
              <w:ind w:firstLine="480" w:firstLineChars="200"/>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-6.47 </w:t>
            </w:r>
          </w:p>
        </w:tc>
        <w:tc>
          <w:tcPr>
            <w:tcW w:w="1527" w:type="dxa"/>
            <w:tcBorders>
              <w:tl2br w:val="nil"/>
              <w:tr2bl w:val="nil"/>
            </w:tcBorders>
            <w:shd w:val="clear" w:color="auto" w:fill="auto"/>
            <w:vAlign w:val="center"/>
          </w:tcPr>
          <w:p>
            <w:pPr>
              <w:widowControl/>
              <w:spacing w:line="560" w:lineRule="exact"/>
              <w:jc w:val="left"/>
              <w:textAlignment w:val="center"/>
              <w:rPr>
                <w:rFonts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 xml:space="preserve">  -85.92%</w:t>
            </w:r>
          </w:p>
        </w:tc>
      </w:tr>
    </w:tbl>
    <w:p>
      <w:pPr>
        <w:pStyle w:val="2"/>
        <w:spacing w:line="560" w:lineRule="exact"/>
        <w:ind w:firstLine="643"/>
        <w:jc w:val="center"/>
        <w:rPr>
          <w:rFonts w:ascii="仿宋_GB2312" w:hAnsi="仿宋_GB2312" w:eastAsia="仿宋_GB2312" w:cs="仿宋_GB2312"/>
          <w:b/>
          <w:sz w:val="32"/>
          <w:szCs w:val="32"/>
        </w:rPr>
      </w:pPr>
    </w:p>
    <w:p>
      <w:pPr>
        <w:pStyle w:val="2"/>
        <w:spacing w:line="560" w:lineRule="exact"/>
        <w:ind w:firstLine="643"/>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2022年与2021年“三公”经费支出对比表</w:t>
      </w:r>
    </w:p>
    <w:p>
      <w:pPr>
        <w:widowControl/>
        <w:spacing w:line="560" w:lineRule="exact"/>
        <w:ind w:firstLine="640" w:firstLineChars="200"/>
        <w:jc w:val="center"/>
        <w:textAlignment w:val="center"/>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 xml:space="preserve">                                  单位：万元</w:t>
      </w:r>
    </w:p>
    <w:tbl>
      <w:tblPr>
        <w:tblStyle w:val="18"/>
        <w:tblW w:w="8000" w:type="dxa"/>
        <w:tblInd w:w="278" w:type="dxa"/>
        <w:tblLayout w:type="fixed"/>
        <w:tblCellMar>
          <w:top w:w="0" w:type="dxa"/>
          <w:left w:w="108" w:type="dxa"/>
          <w:bottom w:w="0" w:type="dxa"/>
          <w:right w:w="108" w:type="dxa"/>
        </w:tblCellMar>
      </w:tblPr>
      <w:tblGrid>
        <w:gridCol w:w="2112"/>
        <w:gridCol w:w="1593"/>
        <w:gridCol w:w="1522"/>
        <w:gridCol w:w="1475"/>
        <w:gridCol w:w="1298"/>
      </w:tblGrid>
      <w:tr>
        <w:tblPrEx>
          <w:tblLayout w:type="fixed"/>
          <w:tblCellMar>
            <w:top w:w="0" w:type="dxa"/>
            <w:left w:w="108" w:type="dxa"/>
            <w:bottom w:w="0" w:type="dxa"/>
            <w:right w:w="108" w:type="dxa"/>
          </w:tblCellMar>
        </w:tblPrEx>
        <w:trPr>
          <w:trHeight w:val="559"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2" w:firstLineChars="200"/>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项目名称</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2021年度</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 xml:space="preserve"> 2022年度</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同比增加</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lang w:bidi="ar"/>
              </w:rPr>
              <w:t>增长率</w:t>
            </w:r>
          </w:p>
        </w:tc>
      </w:tr>
      <w:tr>
        <w:tblPrEx>
          <w:tblLayout w:type="fixed"/>
          <w:tblCellMar>
            <w:top w:w="0" w:type="dxa"/>
            <w:left w:w="108" w:type="dxa"/>
            <w:bottom w:w="0" w:type="dxa"/>
            <w:right w:w="108" w:type="dxa"/>
          </w:tblCellMar>
        </w:tblPrEx>
        <w:trPr>
          <w:trHeight w:val="559"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因公出国（境）费</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0.00</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0.00</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0" w:firstLineChars="200"/>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0.00</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0.00%</w:t>
            </w:r>
          </w:p>
        </w:tc>
      </w:tr>
      <w:tr>
        <w:tblPrEx>
          <w:tblLayout w:type="fixed"/>
          <w:tblCellMar>
            <w:top w:w="0" w:type="dxa"/>
            <w:left w:w="108" w:type="dxa"/>
            <w:bottom w:w="0" w:type="dxa"/>
            <w:right w:w="108" w:type="dxa"/>
          </w:tblCellMar>
        </w:tblPrEx>
        <w:trPr>
          <w:trHeight w:val="559"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公务接待费</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0.00</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0" w:firstLineChars="200"/>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0.00</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0" w:firstLineChars="200"/>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0.00</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0.00%</w:t>
            </w:r>
          </w:p>
        </w:tc>
      </w:tr>
      <w:tr>
        <w:tblPrEx>
          <w:tblLayout w:type="fixed"/>
        </w:tblPrEx>
        <w:trPr>
          <w:trHeight w:val="559"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公务用车运行维护费</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3.55</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0" w:firstLineChars="200"/>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1.06</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0" w:firstLineChars="200"/>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-2.49</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-70.14%</w:t>
            </w:r>
          </w:p>
        </w:tc>
      </w:tr>
      <w:tr>
        <w:tblPrEx>
          <w:tblLayout w:type="fixed"/>
        </w:tblPrEx>
        <w:trPr>
          <w:trHeight w:val="559"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公务用车购置费</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0.00</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0" w:firstLineChars="200"/>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0.00</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0" w:firstLineChars="200"/>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0.00</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0.00%</w:t>
            </w:r>
          </w:p>
        </w:tc>
      </w:tr>
      <w:tr>
        <w:tblPrEx>
          <w:tblLayout w:type="fixed"/>
        </w:tblPrEx>
        <w:trPr>
          <w:trHeight w:val="559" w:hRule="atLeast"/>
        </w:trPr>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金额合计</w:t>
            </w:r>
          </w:p>
        </w:tc>
        <w:tc>
          <w:tcPr>
            <w:tcW w:w="15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3.55</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0" w:firstLineChars="200"/>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1.06</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ind w:firstLine="480" w:firstLineChars="200"/>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-2.49</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560" w:lineRule="exac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kern w:val="0"/>
                <w:sz w:val="24"/>
                <w:lang w:bidi="ar"/>
              </w:rPr>
              <w:t xml:space="preserve"> -70.14%</w:t>
            </w:r>
          </w:p>
        </w:tc>
      </w:tr>
    </w:tbl>
    <w:p>
      <w:pPr>
        <w:pStyle w:val="2"/>
        <w:spacing w:line="560" w:lineRule="exact"/>
        <w:ind w:firstLine="640"/>
        <w:rPr>
          <w:rFonts w:ascii="仿宋_GB2312" w:hAnsi="仿宋_GB2312" w:eastAsia="仿宋_GB2312" w:cs="仿宋_GB2312"/>
          <w:sz w:val="32"/>
          <w:szCs w:val="32"/>
        </w:rPr>
      </w:pPr>
    </w:p>
    <w:p>
      <w:pPr>
        <w:spacing w:line="560" w:lineRule="exact"/>
        <w:ind w:firstLine="640" w:firstLineChars="200"/>
        <w:outlineLvl w:val="1"/>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（二）效果实现情况分析</w:t>
      </w:r>
    </w:p>
    <w:p>
      <w:pPr>
        <w:spacing w:line="560" w:lineRule="exact"/>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1.经济效益</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2022年市福彩中心继续秉持“扶老、助残、救孤、济困”的发行宗旨，为社会公益事业提供有力资金支撑。2022年北京市地方留用福利彩票公益金7.25亿元，支出5.80亿元，全部专项转移支付补助各区。一是重点支持养老服务5.77亿元，主要用于落实老年人养老服务补贴津贴政策制度，发放补贴津贴，月均92.83万人次，提高老年人居家照顾服务水平，有效缓解老年人生活照料困难，推动形成多元化资金投入格局，实现基本养老服务均衡化。二是补助支持各区社会公益项目267.51万元，主要用于补助支持各区落实助残、救孤、济困及发展区域社会事务和社会公益事业，包括支持社会救助工作，为社救对象提供精准帮扶、保障高等教育新生入学救助金、临时救助资金等，支持救助602人，有效提升困境家庭生活幸福感。</w:t>
      </w:r>
    </w:p>
    <w:p>
      <w:pPr>
        <w:spacing w:line="560" w:lineRule="exact"/>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2.社会效益</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（1）支持社会公益事业发展。2022年北京福彩运营正常，市福彩中心通过举办活动、投放广告等方式提高各类消费群体及社会公众对福彩品牌的认同度。</w:t>
      </w:r>
      <w:r>
        <w:rPr>
          <w:rFonts w:hint="eastAsia" w:ascii="仿宋_GB2312" w:hAnsi="仿宋_GB2312" w:eastAsia="仿宋_GB2312" w:cs="仿宋_GB2312"/>
          <w:color w:val="000000"/>
          <w:kern w:val="0"/>
          <w:sz w:val="32"/>
          <w:szCs w:val="32"/>
          <w:highlight w:val="none"/>
        </w:rPr>
        <w:t>为销售站发放口罩、凝胶和接线板等物资</w:t>
      </w:r>
      <w:r>
        <w:rPr>
          <w:rFonts w:hint="eastAsia" w:ascii="仿宋_GB2312" w:hAnsi="仿宋_GB2312" w:eastAsia="仿宋_GB2312" w:cs="仿宋_GB2312"/>
          <w:color w:val="000000"/>
          <w:kern w:val="0"/>
          <w:sz w:val="32"/>
          <w:szCs w:val="32"/>
          <w:highlight w:val="none"/>
          <w:lang w:val="en-US" w:eastAsia="zh-CN"/>
        </w:rPr>
        <w:t>65</w:t>
      </w:r>
      <w:r>
        <w:rPr>
          <w:rFonts w:hint="eastAsia" w:ascii="仿宋_GB2312" w:hAnsi="仿宋_GB2312" w:eastAsia="仿宋_GB2312" w:cs="仿宋_GB2312"/>
          <w:color w:val="000000"/>
          <w:kern w:val="0"/>
          <w:sz w:val="32"/>
          <w:szCs w:val="32"/>
          <w:highlight w:val="none"/>
        </w:rPr>
        <w:t>万元，向朝阳区儿童福利院捐赠5万元爱心物资。</w:t>
      </w:r>
      <w:r>
        <w:rPr>
          <w:rFonts w:hint="eastAsia" w:ascii="仿宋_GB2312" w:hAnsi="仿宋_GB2312" w:eastAsia="仿宋_GB2312" w:cs="仿宋_GB2312"/>
          <w:color w:val="000000"/>
          <w:kern w:val="0"/>
          <w:sz w:val="32"/>
          <w:szCs w:val="32"/>
        </w:rPr>
        <w:t>同时，为</w:t>
      </w:r>
      <w:r>
        <w:rPr>
          <w:rFonts w:hint="eastAsia" w:ascii="仿宋_GB2312" w:hAnsi="仿宋_GB2312" w:eastAsia="仿宋_GB2312" w:cs="仿宋_GB2312"/>
          <w:kern w:val="0"/>
          <w:sz w:val="32"/>
          <w:szCs w:val="32"/>
        </w:rPr>
        <w:t>提升销售站、销售人员对福利彩票销售的积极性，在</w:t>
      </w:r>
      <w:r>
        <w:rPr>
          <w:rFonts w:hint="eastAsia" w:ascii="仿宋_GB2312" w:hAnsi="仿宋_GB2312" w:eastAsia="仿宋_GB2312" w:cs="仿宋_GB2312"/>
          <w:sz w:val="32"/>
          <w:szCs w:val="32"/>
        </w:rPr>
        <w:t>上半年北京市受</w:t>
      </w:r>
      <w:bookmarkStart w:id="0" w:name="_GoBack"/>
      <w:bookmarkEnd w:id="0"/>
      <w:r>
        <w:rPr>
          <w:rFonts w:hint="eastAsia" w:ascii="仿宋_GB2312" w:hAnsi="仿宋_GB2312" w:eastAsia="仿宋_GB2312" w:cs="仿宋_GB2312"/>
          <w:sz w:val="32"/>
          <w:szCs w:val="32"/>
        </w:rPr>
        <w:t>新冠疫情影响，5月9日开始</w:t>
      </w:r>
      <w:r>
        <w:rPr>
          <w:rFonts w:hint="eastAsia" w:ascii="仿宋_GB2312" w:hAnsi="仿宋_GB2312" w:eastAsia="仿宋_GB2312" w:cs="仿宋_GB2312"/>
          <w:kern w:val="0"/>
          <w:sz w:val="32"/>
          <w:szCs w:val="32"/>
        </w:rPr>
        <w:t>陆续有10个区、2266家销售站停售，占销售站总数的85%，给市场销售带来极为不利影响的情况下，市福彩中心积极落实防控行业管理责任，采取精细化管理措施，及时根据当地疫情防控政策的调整恢复各区域销售站的销售工作，在疫情平稳后积极开展营销活动摆脱市场低迷,在停售1个月的情况下，福彩销量仍保持正增长，“快乐8”、即开票等彩票活动期间销售额也较2021年同期大幅提高，为社会公益事业募集了更多的资金。</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（2）带动社会就业。2022年市福彩中心进一步加大市场开拓力度，新增销售站点374个，截至2022年底就业人员4434人，较2021年新增559人，</w:t>
      </w:r>
      <w:r>
        <w:rPr>
          <w:rFonts w:hint="eastAsia" w:ascii="仿宋_GB2312" w:hAnsi="仿宋_GB2312" w:eastAsia="仿宋_GB2312" w:cs="仿宋_GB2312"/>
          <w:color w:val="000000"/>
          <w:kern w:val="0"/>
          <w:sz w:val="32"/>
          <w:szCs w:val="32"/>
        </w:rPr>
        <w:t>一定程度上在提供社会就业岗位方面发挥了作用。</w:t>
      </w:r>
    </w:p>
    <w:p>
      <w:pPr>
        <w:spacing w:line="560" w:lineRule="exact"/>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3.环境效益</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市福彩中心以绿色低碳循环为基本原则，在工作中积极倡导节能减排，践行绿色运营，尽量减少污染。由于彩票发行销售具有技术更新快、能源资源消耗少的特点，基本没有环境污染。抓好接诉即办和客服工作，处理三率为100%，维护销售环境良好发展。同时，市福彩中心根据相关规定对即开票尾票集中回收并逐一清点进行分类打包装箱，把待销毁的即开票运送到中福彩中心指定仓库并统一销毁；即开票运输依托于第三方服务公司，以电动车为主要方式开展相关快递运输工作，减少车辆的能源消耗和尾气排放；为减少资源消耗，降低碳排放，市福彩中心库房降低照明度，减少能源消耗；在搬运货物期间，减少空调使用，不使用电动搬运车，尽量采用人工搬运货物，搬运工作结束后关灯断电，减少环境污染，降低仓储成本，为节能减排贡献力量。</w:t>
      </w:r>
    </w:p>
    <w:p>
      <w:pPr>
        <w:spacing w:line="560" w:lineRule="exact"/>
        <w:ind w:firstLine="640" w:firstLineChars="200"/>
        <w:outlineLvl w:val="2"/>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4.可持续性影响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提升福利彩票品牌公益形象。市福彩中心通过广告投放、公益活动、营销活动等方式，提高社会公众对福彩品牌的认知度。通过提高购彩者中奖率，改善购彩者体验，进一步提升了福彩公益品牌的美誉度和产品认知度，增强了品牌影响力。主要措施</w:t>
      </w:r>
      <w:r>
        <w:rPr>
          <w:rFonts w:ascii="仿宋_GB2312" w:hAnsi="仿宋_GB2312" w:eastAsia="仿宋_GB2312" w:cs="仿宋_GB2312"/>
          <w:sz w:val="32"/>
          <w:szCs w:val="32"/>
        </w:rPr>
        <w:t>包括：</w:t>
      </w:r>
      <w:r>
        <w:rPr>
          <w:rFonts w:hint="eastAsia" w:ascii="仿宋_GB2312" w:hAnsi="仿宋_GB2312" w:eastAsia="仿宋_GB2312" w:cs="仿宋_GB2312"/>
          <w:sz w:val="32"/>
          <w:szCs w:val="32"/>
        </w:rPr>
        <w:t>一是重新定位自有新媒体。对抖音、微信服务号、微信订阅号进行分工定位，统筹安排宣传时间、内容、重点方式，形成宣传合力，首次采用抖音直播新宣传方式，共发布公益宣传、营销派奖、责任彩票等信息1000余条。二是构建立体宣传模式。综合利用广播电台、户外电视播出公益广告、开奖视频、营销活动等超1.7万分钟，在368、44、57等多路公交车身投放福彩广告，起到了立体式覆盖、扩大影响的效果。三是创新开展公益活动。2022年创新尝试开展了“北京福彩走进社区”主题公益活动，共有50场活动，吸引近5万社区居民踊跃参与，打造福彩与社区居民交流的新窗口，有效提升福彩公益形象和影响力。</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sz w:val="32"/>
          <w:szCs w:val="32"/>
        </w:rPr>
        <w:t>（2）对销售站的管理和维护。2022年对2090个销售站进行日常管理和服务，对销售站（新增、撤销、移址、变更）进行考察，开展日常巡查、经营指导、宣传品及耗材派发、即开票配送、终端机维修维护等工作。清查整改销售站地址不准确等情况，将销售站信息精确到所属社区，增加代销者过户流程，持续优化销售站设立、迁移和撤机审批办理流程，为代销者提供更多便利，实施精细化管理。</w:t>
      </w:r>
      <w:r>
        <w:rPr>
          <w:rStyle w:val="30"/>
          <w:rFonts w:hint="default" w:hAnsi="仿宋_GB2312" w:cs="仿宋_GB2312"/>
        </w:rPr>
        <w:t>开展销售站星级评定试评，对符合条件的2090个销售站进行试评，根据试评结果对现有评选标准进行完善，为实施分类管理打下基础。先后开展互联网及手机APP售彩、向未成年人售彩、</w:t>
      </w:r>
      <w:r>
        <w:rPr>
          <w:rStyle w:val="30"/>
          <w:rFonts w:hint="default" w:hAnsi="仿宋_GB2312" w:cs="仿宋_GB2312"/>
          <w:color w:val="auto"/>
        </w:rPr>
        <w:t>福彩宣传品</w:t>
      </w:r>
      <w:r>
        <w:rPr>
          <w:rStyle w:val="30"/>
          <w:rFonts w:hint="default" w:hAnsi="仿宋_GB2312" w:cs="仿宋_GB2312"/>
        </w:rPr>
        <w:t>、</w:t>
      </w:r>
      <w:r>
        <w:rPr>
          <w:rFonts w:hint="eastAsia" w:ascii="仿宋_GB2312" w:hAnsi="仿宋_GB2312" w:eastAsia="仿宋_GB2312" w:cs="仿宋_GB2312"/>
          <w:sz w:val="32"/>
          <w:szCs w:val="32"/>
        </w:rPr>
        <w:t>户外广告设施安全隐患等专项检查，排查隐患，确保销售站不发生违规行为，为二十大胜利召开营造安全稳定环境。</w:t>
      </w:r>
      <w:r>
        <w:rPr>
          <w:rStyle w:val="30"/>
          <w:rFonts w:hint="default" w:hAnsi="仿宋_GB2312" w:cs="仿宋_GB2312"/>
        </w:rPr>
        <w:t xml:space="preserve"> </w:t>
      </w:r>
    </w:p>
    <w:p>
      <w:pPr>
        <w:spacing w:line="560" w:lineRule="exact"/>
        <w:ind w:firstLine="640" w:firstLineChars="200"/>
        <w:outlineLvl w:val="2"/>
        <w:rPr>
          <w:rStyle w:val="30"/>
          <w:rFonts w:hint="default"/>
        </w:rPr>
      </w:pPr>
      <w:r>
        <w:rPr>
          <w:rStyle w:val="30"/>
        </w:rPr>
        <w:t>5.服务对象满意度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（1）销售站满意度。销售站是保证福利彩票销量的基础，</w:t>
      </w:r>
      <w:r>
        <w:rPr>
          <w:rFonts w:hint="eastAsia" w:ascii="仿宋_GB2312" w:hAnsi="仿宋_GB2312" w:eastAsia="仿宋_GB2312" w:cs="仿宋_GB2312"/>
          <w:kern w:val="0"/>
          <w:sz w:val="32"/>
          <w:szCs w:val="32"/>
        </w:rPr>
        <w:t>市福彩中心</w:t>
      </w:r>
      <w:r>
        <w:rPr>
          <w:rFonts w:hint="eastAsia" w:ascii="仿宋_GB2312" w:hAnsi="仿宋_GB2312" w:eastAsia="仿宋_GB2312" w:cs="仿宋_GB2312"/>
          <w:sz w:val="32"/>
          <w:szCs w:val="32"/>
        </w:rPr>
        <w:t>不断调整服务方案，以满足销售站的发展需求。</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一是打破政策壁垒。取消非北京户籍人员不能直接申请</w:t>
      </w:r>
      <w:r>
        <w:rPr>
          <w:rFonts w:hint="eastAsia" w:ascii="仿宋_GB2312" w:hAnsi="仿宋_GB2312" w:eastAsia="仿宋_GB2312" w:cs="仿宋_GB2312"/>
          <w:bCs/>
          <w:sz w:val="32"/>
          <w:szCs w:val="32"/>
        </w:rPr>
        <w:t>设立销售站的限制。针对全市双彩店占比较高的客观实际和福彩销售站间距要求不统一的问题，将福彩销售站的间距要求统一为200米，优化站点布局。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二是简化办事流程。优化销售站设立、迁移和撤机审批办理流程，办理耗时从至少一个月缩短至7天以内。增加代销者过户流程，为代销者提供更多便利。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减轻销售站负担。免费为全市销售站提供打印纸、投注单，发放福彩宣传物料，2022年为销售站减少支出480万元。在南北两地分别设立即开票的主、备库房，以降低疫情可能负面影响，即开票配送时效达城区近郊区T+0、远郊区T+1，有效保障即开票供应。优化销售系统27次，推出销售系统24小时售彩，满足销售站个性化销售需求。利用集中培训、在线会议等方式，对全体销售人员开展多轮次培训工作，提升销售技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彩民满意度。做好接诉即办工作。坚持“民有所呼，我有所应”的要求，高度重视接诉即办工作，制定中心工作流程，将办理情况纳入部门考核。2022年累计办理12345群众诉求49件，“三率”均达100%。发挥福彩客服热线的补充作用，对接诉即办中诉求较多的购彩不便、不知如何开设网点等问题进行归纳研究，制定措施改进工作，解决销售站和彩民问题，促进“接诉即办”转型“未诉先办”。持续开展日常舆情监测及媒体渠道播放监测。印发《北京市福利彩票发行中心舆情处置预案》，做好舆情监测工作，全年未出现负面舆情。</w:t>
      </w:r>
    </w:p>
    <w:p>
      <w:pPr>
        <w:spacing w:line="560" w:lineRule="exact"/>
        <w:outlineLvl w:val="0"/>
        <w:rPr>
          <w:rFonts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 xml:space="preserve">    四、预算管理情况分析</w:t>
      </w:r>
    </w:p>
    <w:p>
      <w:pPr>
        <w:pStyle w:val="5"/>
        <w:spacing w:before="0" w:after="0" w:line="560" w:lineRule="exact"/>
        <w:ind w:firstLine="640" w:firstLineChars="200"/>
        <w:rPr>
          <w:rFonts w:ascii="仿宋_GB2312" w:hAnsi="仿宋_GB2312" w:eastAsia="仿宋_GB2312" w:cs="仿宋_GB2312"/>
          <w:b w:val="0"/>
          <w:bCs w:val="0"/>
        </w:rPr>
      </w:pPr>
      <w:r>
        <w:rPr>
          <w:rFonts w:hint="eastAsia" w:ascii="仿宋_GB2312" w:hAnsi="仿宋_GB2312" w:eastAsia="仿宋_GB2312" w:cs="仿宋_GB2312"/>
          <w:b w:val="0"/>
          <w:bCs w:val="0"/>
        </w:rPr>
        <w:t>（一）财务管理</w:t>
      </w:r>
    </w:p>
    <w:p>
      <w:pPr>
        <w:spacing w:line="56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制度建设方面，市福彩中心建立了较为完善的财务管理制度体系，制定了相关管理制度以规范资金申请、支出等工作，包括《北京市福利彩票发行中心预算资金管理办法》、《北京市福利彩票发行中心项目采购管理办法》、《北京市福利彩票发行中心固定资产管理办法》、《北京市福利彩票发行中心基础设施建设项目管理制度（试行）》、《北京市福利彩票发行中心内部审计监督管理办法》以及公务用车、差旅费、公务卡、财务会计档案等财务管理制度，对</w:t>
      </w:r>
      <w:r>
        <w:rPr>
          <w:rFonts w:hint="eastAsia" w:ascii="仿宋_GB2312" w:hAnsi="仿宋_GB2312" w:eastAsia="仿宋_GB2312" w:cs="仿宋_GB2312"/>
          <w:kern w:val="0"/>
          <w:sz w:val="32"/>
          <w:szCs w:val="32"/>
        </w:rPr>
        <w:t>市福彩中心</w:t>
      </w:r>
      <w:r>
        <w:rPr>
          <w:rFonts w:hint="eastAsia" w:ascii="仿宋_GB2312" w:hAnsi="仿宋_GB2312" w:eastAsia="仿宋_GB2312" w:cs="仿宋_GB2312"/>
          <w:sz w:val="32"/>
          <w:szCs w:val="32"/>
        </w:rPr>
        <w:t>会计资料、内部审计监督、资金收入支出等事项进行了规定。2022年</w:t>
      </w:r>
      <w:r>
        <w:rPr>
          <w:rFonts w:hint="eastAsia" w:ascii="仿宋_GB2312" w:hAnsi="仿宋_GB2312" w:eastAsia="仿宋_GB2312" w:cs="仿宋_GB2312"/>
          <w:kern w:val="0"/>
          <w:sz w:val="32"/>
          <w:szCs w:val="32"/>
        </w:rPr>
        <w:t>市福彩中心</w:t>
      </w:r>
      <w:r>
        <w:rPr>
          <w:rFonts w:hint="eastAsia" w:ascii="仿宋_GB2312" w:hAnsi="仿宋_GB2312" w:eastAsia="仿宋_GB2312" w:cs="仿宋_GB2312"/>
          <w:sz w:val="32"/>
          <w:szCs w:val="32"/>
        </w:rPr>
        <w:t>在日常内控评价工作的基础上开展了全面、系统、客观的经济活动风险评估，聘请第三方机构针对内部控制有效性，全面梳理单位各类经济活动的业务流程，明确业务环节，系统分析经济活动风险，确定风险点，选择风险应对策略，在此基础上根据国家有关规定建立健全单位各项内部管理制度；同步查找执行过程中存在的不足和问题，并提出意见建议，形成内控评价报告，修订内控手册，在制度上有效保证了财务相关业务工作的规范有序开展。</w:t>
      </w:r>
    </w:p>
    <w:p>
      <w:pPr>
        <w:spacing w:line="56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市福彩中心资金使用严格履行相关资金管理制度要求，符合国家财经法规和财务管理制度规定以及有关专项资金管理办法的规定；资金的拨付有完整的审批程序和手续；项目的重大开支均经过市福彩中心主任办公会或支部委员会集体决策通过，并全面、如实记录于会议纪要；基本支出、项目支出均符合部门预算批复的用途；无截留、挤占、挪用情况；政府采购按照《政府采购法》等相关规定开展，资金使用符合政府采购的程序和流程。</w:t>
      </w:r>
    </w:p>
    <w:p>
      <w:pPr>
        <w:spacing w:line="560" w:lineRule="exact"/>
        <w:ind w:firstLine="640" w:firstLineChars="200"/>
        <w:outlineLvl w:val="2"/>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市福彩中心严格按照《中华人民共和国预算法》及《政府会计准则——基本准则》等法律、行政法规和规章进行核算，采用财务会计、预算会计双轨并行的会计记账方式，全面、客观如实反映发生的各项经济业务，基础数据信息和会计信息资料真实、完整、准确。通过抽查2022年度会计凭证账簿，被抽查经济业务原始凭证、记账凭证基础数据信息核对一致，数据真实准确，各类票据真实、完整，报销审批手续完备，签字审批完整。年度终了，经第三方审计机构对财务报告及决算报告审计后，及时、</w:t>
      </w:r>
      <w:r>
        <w:rPr>
          <w:rFonts w:ascii="仿宋_GB2312" w:hAnsi="仿宋_GB2312" w:eastAsia="仿宋_GB2312" w:cs="仿宋_GB2312"/>
          <w:color w:val="000000"/>
          <w:kern w:val="0"/>
          <w:sz w:val="32"/>
          <w:szCs w:val="32"/>
        </w:rPr>
        <w:t>准确、</w:t>
      </w:r>
      <w:r>
        <w:rPr>
          <w:rFonts w:hint="eastAsia" w:ascii="仿宋_GB2312" w:hAnsi="仿宋_GB2312" w:eastAsia="仿宋_GB2312" w:cs="仿宋_GB2312"/>
          <w:color w:val="000000"/>
          <w:kern w:val="0"/>
          <w:sz w:val="32"/>
          <w:szCs w:val="32"/>
        </w:rPr>
        <w:t>规范提交决算信息。</w:t>
      </w:r>
    </w:p>
    <w:p>
      <w:pPr>
        <w:pStyle w:val="5"/>
        <w:spacing w:before="0" w:after="0" w:line="560" w:lineRule="exact"/>
        <w:ind w:firstLine="640" w:firstLineChars="200"/>
        <w:rPr>
          <w:rFonts w:ascii="仿宋_GB2312" w:hAnsi="仿宋_GB2312" w:eastAsia="仿宋_GB2312" w:cs="仿宋_GB2312"/>
          <w:b w:val="0"/>
          <w:bCs w:val="0"/>
          <w:color w:val="000000"/>
          <w:kern w:val="0"/>
        </w:rPr>
      </w:pPr>
      <w:r>
        <w:rPr>
          <w:rFonts w:hint="eastAsia" w:ascii="仿宋_GB2312" w:hAnsi="仿宋_GB2312" w:eastAsia="仿宋_GB2312" w:cs="仿宋_GB2312"/>
          <w:b w:val="0"/>
          <w:bCs w:val="0"/>
          <w:color w:val="000000"/>
          <w:kern w:val="0"/>
        </w:rPr>
        <w:t>（二）资产管理</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市福彩中心制定内部固定资产管理办法，规范资产管理行为，固定资产保存完整、使用合规，资产运行安全，无对外投资资产。市福彩中心通过市财政局的资产管理系统严格管理资产卡片，确保资产资料完整，真实地反映和监督资产的增减变动和实际情况，建立健全资产账簿体系；根据《行政事业性国有资产管理条例》，登记国有资产台账、编制行政事业性国有资产管理情况报告。资产处置规范，按要求进行报批并公开处置。每年定期对资产进行盘点，确保账账、账实、账表核对一致，做到摸清家底，并完善资产台账。通过加强对固定资产的配置、采购、报废等环节的科学决策，实现了资产管理的规范化、科学化、合理化。</w:t>
      </w:r>
    </w:p>
    <w:p>
      <w:pPr>
        <w:pStyle w:val="5"/>
        <w:spacing w:before="0" w:after="0" w:line="560" w:lineRule="exact"/>
        <w:ind w:firstLine="640" w:firstLineChars="200"/>
        <w:rPr>
          <w:rFonts w:ascii="仿宋_GB2312" w:hAnsi="仿宋_GB2312" w:eastAsia="仿宋_GB2312" w:cs="仿宋_GB2312"/>
          <w:b w:val="0"/>
          <w:bCs w:val="0"/>
          <w:color w:val="000000"/>
          <w:kern w:val="0"/>
        </w:rPr>
      </w:pPr>
      <w:r>
        <w:rPr>
          <w:rFonts w:hint="eastAsia" w:ascii="仿宋_GB2312" w:hAnsi="仿宋_GB2312" w:eastAsia="仿宋_GB2312" w:cs="仿宋_GB2312"/>
          <w:b w:val="0"/>
          <w:bCs w:val="0"/>
          <w:color w:val="000000"/>
          <w:kern w:val="0"/>
        </w:rPr>
        <w:t>（三）绩效管理</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市福彩中心贯彻北京市财政局关于全面预算绩效管理工作的相关要求，严格落实预算绩效管理主体责任，扎实推进北京市在预算绩效管理方面的各类工作要求，着力从目标制定、预算编制、预算审批、预算执行、分析与调整、绩效考核、循环改善等方面完善预算管理流程，及时汇总绩效信息，开展全方位、全过程、全覆盖的预算绩效管理工作。一是绩效目标管理。市福彩中心将绩效目标设置作为预算安排的前置条件，由业务部门根据工作需求及拟实施的项目情况编制绩效目标申报表，委托第三方机构对绩效目标的规范性、完整性、适应性及预算资金的匹配性等进行评审，基本做到了绩效目标与预算同步上报、下达。二是绩效运行监控。市福彩中心结合内控管理对绩效目标实现程度和预算执行进度实行“双监控”，联合第三方机构对项目进展、资金使用、绩效目标实现进行专项检查，发现问题及时分析反馈，第一时间整改纠正。三是绩效评价管理。通过部门自评和第三方评价相结合的方式，对预算执行情况进行绩效评价管理，2022年度绩效目标完成情况良好。</w:t>
      </w:r>
    </w:p>
    <w:p>
      <w:pPr>
        <w:pStyle w:val="5"/>
        <w:spacing w:before="0" w:after="0" w:line="560" w:lineRule="exact"/>
        <w:ind w:firstLine="640" w:firstLineChars="200"/>
        <w:rPr>
          <w:rFonts w:ascii="仿宋_GB2312" w:hAnsi="仿宋_GB2312" w:eastAsia="仿宋_GB2312" w:cs="仿宋_GB2312"/>
          <w:b w:val="0"/>
          <w:bCs w:val="0"/>
          <w:color w:val="000000"/>
          <w:kern w:val="0"/>
        </w:rPr>
      </w:pPr>
      <w:r>
        <w:rPr>
          <w:rFonts w:hint="eastAsia" w:ascii="仿宋_GB2312" w:hAnsi="仿宋_GB2312" w:eastAsia="仿宋_GB2312" w:cs="仿宋_GB2312"/>
          <w:b w:val="0"/>
          <w:bCs w:val="0"/>
          <w:color w:val="000000"/>
          <w:kern w:val="0"/>
        </w:rPr>
        <w:t>（四）结转结余率</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2022年市福彩中心结转结余总额为500.23万元（其中，财政核拨资金结转221.84万元，其他资金结余278.39万元），结转结余率为3.19%，低于2021年结转结余率15.61%。</w:t>
      </w:r>
    </w:p>
    <w:p>
      <w:pPr>
        <w:pStyle w:val="5"/>
        <w:spacing w:before="0" w:after="0" w:line="560" w:lineRule="exact"/>
        <w:ind w:firstLine="640" w:firstLineChars="200"/>
        <w:rPr>
          <w:rFonts w:ascii="仿宋_GB2312" w:hAnsi="仿宋_GB2312" w:eastAsia="仿宋_GB2312" w:cs="仿宋_GB2312"/>
          <w:b w:val="0"/>
          <w:bCs w:val="0"/>
          <w:color w:val="000000"/>
          <w:kern w:val="0"/>
        </w:rPr>
      </w:pPr>
      <w:r>
        <w:rPr>
          <w:rFonts w:hint="eastAsia" w:ascii="仿宋_GB2312" w:hAnsi="仿宋_GB2312" w:eastAsia="仿宋_GB2312" w:cs="仿宋_GB2312"/>
          <w:b w:val="0"/>
          <w:bCs w:val="0"/>
          <w:color w:val="000000"/>
          <w:kern w:val="0"/>
        </w:rPr>
        <w:t>（五）部门预决算差异率</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2022年预算总额15675.82万元，其中，基本经费支出预算数2490.22万元，项目经费支出预算数13185.60万元。</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2022年决算总额15432.07万元，其中，基本经费支出决算数2436.60万元，项目经费支出决算数12995.47万元。</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2022年部门预决算差异额</w:t>
      </w:r>
      <w:r>
        <w:rPr>
          <w:rFonts w:ascii="仿宋_GB2312" w:hAnsi="仿宋_GB2312" w:eastAsia="仿宋_GB2312" w:cs="仿宋_GB2312"/>
          <w:color w:val="000000"/>
          <w:kern w:val="0"/>
          <w:sz w:val="32"/>
          <w:szCs w:val="32"/>
        </w:rPr>
        <w:t>为</w:t>
      </w:r>
      <w:r>
        <w:rPr>
          <w:rFonts w:hint="eastAsia" w:ascii="仿宋_GB2312" w:hAnsi="仿宋_GB2312" w:eastAsia="仿宋_GB2312" w:cs="仿宋_GB2312"/>
          <w:color w:val="000000"/>
          <w:kern w:val="0"/>
          <w:sz w:val="32"/>
          <w:szCs w:val="32"/>
        </w:rPr>
        <w:t>-243.75万元</w:t>
      </w:r>
      <w:r>
        <w:rPr>
          <w:rFonts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t>差异率为-1.55%，低于北京市市级平均差异率，预算执行情况较好。</w:t>
      </w:r>
    </w:p>
    <w:p>
      <w:pPr>
        <w:spacing w:line="560" w:lineRule="exact"/>
        <w:ind w:firstLine="707" w:firstLineChars="221"/>
        <w:outlineLvl w:val="0"/>
        <w:rPr>
          <w:rFonts w:ascii="仿宋_GB2312" w:hAnsi="仿宋_GB2312" w:eastAsia="仿宋_GB2312" w:cs="仿宋_GB2312"/>
          <w:color w:val="000000"/>
          <w:kern w:val="0"/>
          <w:sz w:val="32"/>
          <w:szCs w:val="32"/>
        </w:rPr>
      </w:pPr>
      <w:r>
        <w:rPr>
          <w:rFonts w:hint="eastAsia" w:ascii="黑体" w:hAnsi="黑体" w:eastAsia="黑体" w:cs="黑体"/>
          <w:color w:val="000000"/>
          <w:kern w:val="0"/>
          <w:sz w:val="32"/>
          <w:szCs w:val="32"/>
        </w:rPr>
        <w:t xml:space="preserve">  五、总体评价结论</w:t>
      </w:r>
    </w:p>
    <w:p>
      <w:pPr>
        <w:spacing w:line="560" w:lineRule="exact"/>
        <w:ind w:firstLine="643" w:firstLineChars="200"/>
        <w:outlineLvl w:val="0"/>
        <w:rPr>
          <w:rFonts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color w:val="000000"/>
          <w:kern w:val="0"/>
          <w:sz w:val="32"/>
          <w:szCs w:val="32"/>
        </w:rPr>
        <w:t>一）评价得分情况</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市福彩中心本次绩效自评得分为</w:t>
      </w:r>
      <w:r>
        <w:rPr>
          <w:rFonts w:hint="eastAsia" w:ascii="仿宋_GB2312" w:hAnsi="仿宋_GB2312" w:eastAsia="仿宋_GB2312" w:cs="仿宋_GB2312"/>
          <w:kern w:val="0"/>
          <w:sz w:val="32"/>
          <w:szCs w:val="32"/>
        </w:rPr>
        <w:t>96.59分，部门整体绩效评价指标体系评分结果为“优”。得分情况具体分析如下：</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1.预算执行指标总分20分，得分19.69分。预算执行情况整体较好。预算支出金额受彩票销售、项目开展情况影响，财政资金使用的及时性和均衡性有待进一步提升。</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2.整体绩效目标实现情况60分，得分59.5分。2022年销量高于预期，公益金筹集能力进一步增强。在市场开拓、公益宣传推广等方面还需进一步探索规范市场管理、激发市场活力的新空间、新举措。</w:t>
      </w:r>
    </w:p>
    <w:p>
      <w:pPr>
        <w:spacing w:line="560" w:lineRule="exact"/>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kern w:val="0"/>
          <w:sz w:val="32"/>
          <w:szCs w:val="32"/>
        </w:rPr>
        <w:t>3.预算管理情况20分，得分17.4分。市福彩中心通过建立健全内部管理制度，提高资金使用的合规性和安全性，逐步加强绩效管理信息结果的应用，不断提高预算管理水平。在项目执行进度、资产管理等方面还有待进一步加强管理和规范。</w:t>
      </w:r>
    </w:p>
    <w:p>
      <w:pPr>
        <w:spacing w:line="560" w:lineRule="exact"/>
        <w:ind w:firstLine="640" w:firstLineChars="200"/>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（二）存在的问题及原因分析</w:t>
      </w:r>
    </w:p>
    <w:p>
      <w:pPr>
        <w:spacing w:line="56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1.个别项目完成及时性不够</w:t>
      </w:r>
    </w:p>
    <w:p>
      <w:pPr>
        <w:pStyle w:val="2"/>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度重点项目各项服务内容均已实施完成，活动效果能够达到市福彩中心预期要求，但部分项目在完成及时性等方面还有待完善和提升。如（1）新媒体运营及制作项目实施初期，因受疫情影响，部分服务内容执行进度推进缓慢，个别月份微信服务号推送频次未达标准要求、推送内容未及时更新到对应功能板块。（2）电脑票市场营销项目第一期电脑票对应的纸质宣传物料延迟9天交付快递公司配送至各销售站点，部分配送存在配送失败退回和滞留延后配送的情况。</w:t>
      </w:r>
      <w:r>
        <w:rPr>
          <w:rFonts w:hint="eastAsia" w:ascii="仿宋_GB2312" w:hAnsi="仿宋_GB2312" w:eastAsia="仿宋_GB2312" w:cs="仿宋_GB2312"/>
          <w:kern w:val="0"/>
          <w:sz w:val="32"/>
          <w:szCs w:val="32"/>
        </w:rPr>
        <w:t>（3）非持续性的重点宣传类项目，执行期间大多在当年5月份及以后，导致1-4月份出现宣传上的空档期，不利于福彩形象的持续性宣贯。</w:t>
      </w:r>
      <w:r>
        <w:rPr>
          <w:rFonts w:hint="eastAsia" w:ascii="仿宋_GB2312" w:hAnsi="仿宋_GB2312" w:eastAsia="仿宋_GB2312" w:cs="仿宋_GB2312"/>
          <w:sz w:val="32"/>
          <w:szCs w:val="32"/>
        </w:rPr>
        <w:t>（4）部分项目实施方案不够具体和完整，对项目实施的具体工作内容、组织安排及实施流程缺少必要、清晰的描述和解释说明，项目的计划性较弱，造成执行进度滞后，一定程度上影响了项目实施效果。</w:t>
      </w:r>
    </w:p>
    <w:p>
      <w:pPr>
        <w:spacing w:line="56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2.资产管理规范性有待进一步提高</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存在个别资产超标准情况，主要原因为部分资产报废流程未执行完毕；部分房屋尚未办理产权证，主要原因是房产所依附的主体大产权因历史遗留问题未能办理房产证，导致市福彩中心所属部分房产无法办理房产证；因市福彩中心机构调整，资产使用及管理部门信息发生变化，但相关管理部门未及时对资产卡片信息进行调整更新，导致资产卡片中对于资产的存放地点、使用部门等信息与实际情况不符，数据信息的时效性较弱，不利于固定资产的管理。</w:t>
      </w:r>
    </w:p>
    <w:p>
      <w:pPr>
        <w:spacing w:line="560" w:lineRule="exact"/>
        <w:outlineLvl w:val="0"/>
        <w:rPr>
          <w:rFonts w:ascii="黑体" w:hAnsi="黑体" w:eastAsia="黑体" w:cs="黑体"/>
          <w:color w:val="000000"/>
          <w:kern w:val="0"/>
          <w:sz w:val="32"/>
          <w:szCs w:val="32"/>
        </w:rPr>
      </w:pPr>
      <w:r>
        <w:rPr>
          <w:rFonts w:hint="eastAsia" w:ascii="黑体" w:hAnsi="黑体" w:eastAsia="黑体" w:cs="黑体"/>
          <w:color w:val="000000"/>
          <w:kern w:val="0"/>
          <w:sz w:val="32"/>
          <w:szCs w:val="32"/>
        </w:rPr>
        <w:t xml:space="preserve">    六、措施建议</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（一）科学制定项目年度实施方案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一是根据中福彩、市民政局每年的工作要求，提前做好工作安排和计划，针对各类影响项目执行进度的事项，提前预判，在项目实施的进度上更合理的安排和应对突发情况的处理预案。</w:t>
      </w:r>
      <w:r>
        <w:rPr>
          <w:rFonts w:hint="eastAsia" w:ascii="仿宋_GB2312" w:hAnsi="仿宋_GB2312" w:eastAsia="仿宋_GB2312" w:cs="仿宋_GB2312"/>
          <w:bCs/>
          <w:color w:val="000000"/>
          <w:sz w:val="32"/>
          <w:szCs w:val="32"/>
        </w:rPr>
        <w:t>二是</w:t>
      </w:r>
      <w:r>
        <w:rPr>
          <w:rFonts w:hint="eastAsia" w:ascii="仿宋_GB2312" w:hAnsi="仿宋_GB2312" w:eastAsia="仿宋_GB2312" w:cs="仿宋_GB2312"/>
          <w:sz w:val="32"/>
          <w:szCs w:val="32"/>
        </w:rPr>
        <w:t>细化项目流程，明确项目执行中的实施组织架构、人员职责分工、工作内容、组织保障、制度保障、资金使用、实施进度、过程管理和监督跟踪、验收等内容</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sz w:val="32"/>
          <w:szCs w:val="32"/>
        </w:rPr>
        <w:t>提高方案的指导性和约束力</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sz w:val="32"/>
          <w:szCs w:val="32"/>
        </w:rPr>
        <w:t>三是作为经常性项目，结合以前年度的工作经验和对彩票市场的分析判断，科学制定采购计划，测算最优库存数量，确保各类生产资料库存能够科学合理滚动，既能满足正常的销售需要，又避免出现大量库存对空间和财政资金的占用。</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（二）继续加强国有资产规范管理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进一步规范国有资产日常管理性工作，加强核算入账和登记管理，积极督促指导各单位严格落实政府会计准则制度等要求，准确完整登记资产卡片信息，确保“一卡一物”、不重不漏，定期清查盘点，及时处理资产盘盈、盘亏和资金挂账等事项；不断推进国有资产制度建设和数据夯实工作，通过制定、修订相关管理制度，完善单位资产管理制度体系建设，堵塞管理漏洞；继续落实好资产月报制度、事业单位产权登记和资产年报工作，将动态管理与阶段性数据分析相结合，不断提升资产数据质量；做实做细资产清查盘点，完善资产管理工作基础数据库，加强数据分析和综合利用，为规范管理和科学决策提供支撑。</w:t>
      </w:r>
    </w:p>
    <w:p>
      <w:pPr>
        <w:pStyle w:val="14"/>
        <w:widowControl/>
        <w:spacing w:beforeAutospacing="0" w:afterAutospacing="0" w:line="560" w:lineRule="exact"/>
        <w:ind w:firstLine="640" w:firstLineChars="200"/>
        <w:rPr>
          <w:rFonts w:ascii="仿宋_GB2312" w:hAnsi="仿宋_GB2312" w:eastAsia="仿宋_GB2312" w:cs="仿宋_GB2312"/>
          <w:color w:val="0000FF"/>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附件：2022年部门整体绩效评价指标体系评分表</w:t>
      </w: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Adobe 黑体 Std R">
    <w:altName w:val="宋体"/>
    <w:panose1 w:val="00000000000000000000"/>
    <w:charset w:val="86"/>
    <w:family w:val="roman"/>
    <w:pitch w:val="default"/>
    <w:sig w:usb0="00000000" w:usb1="00000000" w:usb2="00000010" w:usb3="00000000" w:csb0="00040000" w:csb1="00000000"/>
  </w:font>
  <w:font w:name="Meiryo">
    <w:panose1 w:val="020B0604030504040204"/>
    <w:charset w:val="80"/>
    <w:family w:val="swiss"/>
    <w:pitch w:val="default"/>
    <w:sig w:usb0="E10102FF" w:usb1="EAC7FFFF" w:usb2="00010012" w:usb3="00000000" w:csb0="6002009F" w:csb1="DFD70000"/>
  </w:font>
  <w:font w:name="宋体-PUA">
    <w:altName w:val="华文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- 18 -</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- 18 -</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5YzVkNTI2ODMwMDY1ZGNkZmY1ODk3MTgwMTMwMzMifQ=="/>
  </w:docVars>
  <w:rsids>
    <w:rsidRoot w:val="00172A27"/>
    <w:rsid w:val="000036FF"/>
    <w:rsid w:val="0000475F"/>
    <w:rsid w:val="000160EB"/>
    <w:rsid w:val="00024E90"/>
    <w:rsid w:val="0003127E"/>
    <w:rsid w:val="00065D6F"/>
    <w:rsid w:val="00066BED"/>
    <w:rsid w:val="00096388"/>
    <w:rsid w:val="000A310F"/>
    <w:rsid w:val="000C7206"/>
    <w:rsid w:val="00100E3A"/>
    <w:rsid w:val="00103F6D"/>
    <w:rsid w:val="00105712"/>
    <w:rsid w:val="0011313F"/>
    <w:rsid w:val="0011514B"/>
    <w:rsid w:val="00120328"/>
    <w:rsid w:val="00125D03"/>
    <w:rsid w:val="001334F3"/>
    <w:rsid w:val="00133691"/>
    <w:rsid w:val="00142B0C"/>
    <w:rsid w:val="001435AC"/>
    <w:rsid w:val="00145FD5"/>
    <w:rsid w:val="00147004"/>
    <w:rsid w:val="00147537"/>
    <w:rsid w:val="00151A43"/>
    <w:rsid w:val="00152A24"/>
    <w:rsid w:val="001574FD"/>
    <w:rsid w:val="0016037B"/>
    <w:rsid w:val="00163C5A"/>
    <w:rsid w:val="001647CF"/>
    <w:rsid w:val="00165529"/>
    <w:rsid w:val="00165810"/>
    <w:rsid w:val="00172A27"/>
    <w:rsid w:val="0017655B"/>
    <w:rsid w:val="00181DC4"/>
    <w:rsid w:val="00192C09"/>
    <w:rsid w:val="00192FED"/>
    <w:rsid w:val="00195B4E"/>
    <w:rsid w:val="001A5A50"/>
    <w:rsid w:val="001B4D89"/>
    <w:rsid w:val="001C1E66"/>
    <w:rsid w:val="001D4206"/>
    <w:rsid w:val="001D50BE"/>
    <w:rsid w:val="001E2E0A"/>
    <w:rsid w:val="001E36DF"/>
    <w:rsid w:val="001E5308"/>
    <w:rsid w:val="001F77DE"/>
    <w:rsid w:val="00201060"/>
    <w:rsid w:val="002011A4"/>
    <w:rsid w:val="00201E27"/>
    <w:rsid w:val="00220A86"/>
    <w:rsid w:val="00221378"/>
    <w:rsid w:val="00230F19"/>
    <w:rsid w:val="00232023"/>
    <w:rsid w:val="00232B25"/>
    <w:rsid w:val="00235716"/>
    <w:rsid w:val="00260C08"/>
    <w:rsid w:val="00274114"/>
    <w:rsid w:val="00275EED"/>
    <w:rsid w:val="00283FBB"/>
    <w:rsid w:val="00295BEC"/>
    <w:rsid w:val="002B3DAB"/>
    <w:rsid w:val="002B49B9"/>
    <w:rsid w:val="002B5429"/>
    <w:rsid w:val="002B5CDB"/>
    <w:rsid w:val="002D27C8"/>
    <w:rsid w:val="002D4F83"/>
    <w:rsid w:val="002D5882"/>
    <w:rsid w:val="002D74C4"/>
    <w:rsid w:val="002E0C04"/>
    <w:rsid w:val="002E0E4F"/>
    <w:rsid w:val="002E468E"/>
    <w:rsid w:val="002E7532"/>
    <w:rsid w:val="002F24F5"/>
    <w:rsid w:val="002F76EF"/>
    <w:rsid w:val="003171A4"/>
    <w:rsid w:val="00320D1E"/>
    <w:rsid w:val="00323F05"/>
    <w:rsid w:val="00337A2C"/>
    <w:rsid w:val="00347B23"/>
    <w:rsid w:val="003549E2"/>
    <w:rsid w:val="00372ACE"/>
    <w:rsid w:val="00382B8E"/>
    <w:rsid w:val="003A1F87"/>
    <w:rsid w:val="003E129A"/>
    <w:rsid w:val="003E3498"/>
    <w:rsid w:val="003F5FEB"/>
    <w:rsid w:val="003F78E6"/>
    <w:rsid w:val="00417964"/>
    <w:rsid w:val="00433A07"/>
    <w:rsid w:val="0044679C"/>
    <w:rsid w:val="00451041"/>
    <w:rsid w:val="00463D34"/>
    <w:rsid w:val="00492C3F"/>
    <w:rsid w:val="004A587A"/>
    <w:rsid w:val="004B1BCA"/>
    <w:rsid w:val="004B3699"/>
    <w:rsid w:val="004B5384"/>
    <w:rsid w:val="004B5D8B"/>
    <w:rsid w:val="004B7BAA"/>
    <w:rsid w:val="004E4844"/>
    <w:rsid w:val="004F3D93"/>
    <w:rsid w:val="004F467A"/>
    <w:rsid w:val="005051F0"/>
    <w:rsid w:val="005052CB"/>
    <w:rsid w:val="00514B60"/>
    <w:rsid w:val="00523687"/>
    <w:rsid w:val="0052646C"/>
    <w:rsid w:val="0052664F"/>
    <w:rsid w:val="00557A09"/>
    <w:rsid w:val="00561C1B"/>
    <w:rsid w:val="00566CE6"/>
    <w:rsid w:val="00575034"/>
    <w:rsid w:val="005869F5"/>
    <w:rsid w:val="00590276"/>
    <w:rsid w:val="005A2733"/>
    <w:rsid w:val="005B61A2"/>
    <w:rsid w:val="005D4A86"/>
    <w:rsid w:val="005F47E7"/>
    <w:rsid w:val="00613069"/>
    <w:rsid w:val="00613CD1"/>
    <w:rsid w:val="0061644A"/>
    <w:rsid w:val="00634706"/>
    <w:rsid w:val="00637A97"/>
    <w:rsid w:val="00642F9F"/>
    <w:rsid w:val="00645A00"/>
    <w:rsid w:val="006674F4"/>
    <w:rsid w:val="006739E1"/>
    <w:rsid w:val="00684F18"/>
    <w:rsid w:val="006960DD"/>
    <w:rsid w:val="00697812"/>
    <w:rsid w:val="006B03F5"/>
    <w:rsid w:val="006B58F5"/>
    <w:rsid w:val="006C3939"/>
    <w:rsid w:val="006C7441"/>
    <w:rsid w:val="006D42A1"/>
    <w:rsid w:val="006E0788"/>
    <w:rsid w:val="006E1265"/>
    <w:rsid w:val="006F3CDE"/>
    <w:rsid w:val="006F7920"/>
    <w:rsid w:val="00712B2A"/>
    <w:rsid w:val="0071550A"/>
    <w:rsid w:val="00721E09"/>
    <w:rsid w:val="00737051"/>
    <w:rsid w:val="0076184B"/>
    <w:rsid w:val="00766326"/>
    <w:rsid w:val="00771343"/>
    <w:rsid w:val="00773C4A"/>
    <w:rsid w:val="007824A7"/>
    <w:rsid w:val="007B0F59"/>
    <w:rsid w:val="007B5DCD"/>
    <w:rsid w:val="007C2F5C"/>
    <w:rsid w:val="007E24A8"/>
    <w:rsid w:val="007F5E89"/>
    <w:rsid w:val="007F7772"/>
    <w:rsid w:val="0080088E"/>
    <w:rsid w:val="008077F3"/>
    <w:rsid w:val="00807C6F"/>
    <w:rsid w:val="00820880"/>
    <w:rsid w:val="00822A5C"/>
    <w:rsid w:val="008322BB"/>
    <w:rsid w:val="00840207"/>
    <w:rsid w:val="00852E75"/>
    <w:rsid w:val="00856F8C"/>
    <w:rsid w:val="008852C0"/>
    <w:rsid w:val="008857A5"/>
    <w:rsid w:val="008A130E"/>
    <w:rsid w:val="008A2108"/>
    <w:rsid w:val="008C693F"/>
    <w:rsid w:val="008C78B8"/>
    <w:rsid w:val="008D1DE5"/>
    <w:rsid w:val="008D4319"/>
    <w:rsid w:val="008E1D17"/>
    <w:rsid w:val="008E7C27"/>
    <w:rsid w:val="00910089"/>
    <w:rsid w:val="00913FA3"/>
    <w:rsid w:val="00930FAE"/>
    <w:rsid w:val="0093190E"/>
    <w:rsid w:val="00953E3C"/>
    <w:rsid w:val="00961303"/>
    <w:rsid w:val="009743D8"/>
    <w:rsid w:val="00975FB9"/>
    <w:rsid w:val="009763F1"/>
    <w:rsid w:val="009830F2"/>
    <w:rsid w:val="009835B7"/>
    <w:rsid w:val="0098509B"/>
    <w:rsid w:val="0099006E"/>
    <w:rsid w:val="00996491"/>
    <w:rsid w:val="009A52FA"/>
    <w:rsid w:val="009C1409"/>
    <w:rsid w:val="009C4CDB"/>
    <w:rsid w:val="009D30ED"/>
    <w:rsid w:val="009D3F46"/>
    <w:rsid w:val="009D41FD"/>
    <w:rsid w:val="009D6F84"/>
    <w:rsid w:val="009E098E"/>
    <w:rsid w:val="009E655F"/>
    <w:rsid w:val="009F3F66"/>
    <w:rsid w:val="009F542E"/>
    <w:rsid w:val="00A004DC"/>
    <w:rsid w:val="00A1175B"/>
    <w:rsid w:val="00A12EB7"/>
    <w:rsid w:val="00A23EBF"/>
    <w:rsid w:val="00A35087"/>
    <w:rsid w:val="00A70983"/>
    <w:rsid w:val="00A71DE3"/>
    <w:rsid w:val="00A759AC"/>
    <w:rsid w:val="00A803B7"/>
    <w:rsid w:val="00A9203D"/>
    <w:rsid w:val="00A954D5"/>
    <w:rsid w:val="00A9790F"/>
    <w:rsid w:val="00A97CDA"/>
    <w:rsid w:val="00AA534A"/>
    <w:rsid w:val="00AA7D1C"/>
    <w:rsid w:val="00AB162E"/>
    <w:rsid w:val="00AB489A"/>
    <w:rsid w:val="00AC5B81"/>
    <w:rsid w:val="00AC79A7"/>
    <w:rsid w:val="00AD35D8"/>
    <w:rsid w:val="00AD37A0"/>
    <w:rsid w:val="00AD4499"/>
    <w:rsid w:val="00AE4AA8"/>
    <w:rsid w:val="00AE5C3B"/>
    <w:rsid w:val="00AF3466"/>
    <w:rsid w:val="00AF6E78"/>
    <w:rsid w:val="00B0202C"/>
    <w:rsid w:val="00B34215"/>
    <w:rsid w:val="00B41985"/>
    <w:rsid w:val="00B43972"/>
    <w:rsid w:val="00B44783"/>
    <w:rsid w:val="00B46E51"/>
    <w:rsid w:val="00B6562A"/>
    <w:rsid w:val="00B67706"/>
    <w:rsid w:val="00B73675"/>
    <w:rsid w:val="00B8310C"/>
    <w:rsid w:val="00B85EA9"/>
    <w:rsid w:val="00B85F6E"/>
    <w:rsid w:val="00B90725"/>
    <w:rsid w:val="00BA2512"/>
    <w:rsid w:val="00BA32EF"/>
    <w:rsid w:val="00BB326C"/>
    <w:rsid w:val="00BD1A23"/>
    <w:rsid w:val="00BD3D09"/>
    <w:rsid w:val="00BD6F71"/>
    <w:rsid w:val="00C10156"/>
    <w:rsid w:val="00C11A7D"/>
    <w:rsid w:val="00C16AA4"/>
    <w:rsid w:val="00C20613"/>
    <w:rsid w:val="00C305F5"/>
    <w:rsid w:val="00C317AE"/>
    <w:rsid w:val="00C47805"/>
    <w:rsid w:val="00C55CB8"/>
    <w:rsid w:val="00C70884"/>
    <w:rsid w:val="00C74B11"/>
    <w:rsid w:val="00C827DD"/>
    <w:rsid w:val="00CA7DC0"/>
    <w:rsid w:val="00CC28EB"/>
    <w:rsid w:val="00CC52D6"/>
    <w:rsid w:val="00CD3589"/>
    <w:rsid w:val="00CD64E0"/>
    <w:rsid w:val="00CE2B20"/>
    <w:rsid w:val="00D03D99"/>
    <w:rsid w:val="00D139FA"/>
    <w:rsid w:val="00D21A3E"/>
    <w:rsid w:val="00D21E9A"/>
    <w:rsid w:val="00D22F03"/>
    <w:rsid w:val="00D444B8"/>
    <w:rsid w:val="00D4739C"/>
    <w:rsid w:val="00D473C0"/>
    <w:rsid w:val="00D571BB"/>
    <w:rsid w:val="00D63185"/>
    <w:rsid w:val="00D70AD1"/>
    <w:rsid w:val="00D73B25"/>
    <w:rsid w:val="00D81BB7"/>
    <w:rsid w:val="00D837B6"/>
    <w:rsid w:val="00D87803"/>
    <w:rsid w:val="00DA04C1"/>
    <w:rsid w:val="00DA38AE"/>
    <w:rsid w:val="00DA6C09"/>
    <w:rsid w:val="00DB51AE"/>
    <w:rsid w:val="00DB5EFC"/>
    <w:rsid w:val="00DC00AF"/>
    <w:rsid w:val="00DC06F9"/>
    <w:rsid w:val="00DC0A57"/>
    <w:rsid w:val="00DE207A"/>
    <w:rsid w:val="00DE471D"/>
    <w:rsid w:val="00DE4F95"/>
    <w:rsid w:val="00DE5D45"/>
    <w:rsid w:val="00DE5D4E"/>
    <w:rsid w:val="00DE6AD2"/>
    <w:rsid w:val="00DF7CCA"/>
    <w:rsid w:val="00E16314"/>
    <w:rsid w:val="00E17F01"/>
    <w:rsid w:val="00E3246C"/>
    <w:rsid w:val="00E50372"/>
    <w:rsid w:val="00E53242"/>
    <w:rsid w:val="00E56582"/>
    <w:rsid w:val="00E62D3E"/>
    <w:rsid w:val="00E76298"/>
    <w:rsid w:val="00E8143E"/>
    <w:rsid w:val="00E95E4C"/>
    <w:rsid w:val="00E97D84"/>
    <w:rsid w:val="00EA5A9E"/>
    <w:rsid w:val="00EB5416"/>
    <w:rsid w:val="00EC4940"/>
    <w:rsid w:val="00F12CC5"/>
    <w:rsid w:val="00F25183"/>
    <w:rsid w:val="00F26EDA"/>
    <w:rsid w:val="00F337DB"/>
    <w:rsid w:val="00F37971"/>
    <w:rsid w:val="00F418A7"/>
    <w:rsid w:val="00F54119"/>
    <w:rsid w:val="00F55AE7"/>
    <w:rsid w:val="00F7395C"/>
    <w:rsid w:val="00F83747"/>
    <w:rsid w:val="00F93F9D"/>
    <w:rsid w:val="00F94145"/>
    <w:rsid w:val="00F969FE"/>
    <w:rsid w:val="00F97336"/>
    <w:rsid w:val="00FA2A53"/>
    <w:rsid w:val="00FB3BA8"/>
    <w:rsid w:val="00FC300F"/>
    <w:rsid w:val="00FD0B30"/>
    <w:rsid w:val="00FD2D63"/>
    <w:rsid w:val="00FE2FCE"/>
    <w:rsid w:val="00FE3494"/>
    <w:rsid w:val="00FE64F7"/>
    <w:rsid w:val="00FF01EC"/>
    <w:rsid w:val="01050F22"/>
    <w:rsid w:val="017D69CF"/>
    <w:rsid w:val="01A71FD9"/>
    <w:rsid w:val="01E877DE"/>
    <w:rsid w:val="01F5220A"/>
    <w:rsid w:val="022A49B8"/>
    <w:rsid w:val="02380E83"/>
    <w:rsid w:val="02436BF5"/>
    <w:rsid w:val="02ED7EC0"/>
    <w:rsid w:val="030B4F30"/>
    <w:rsid w:val="031A4A2D"/>
    <w:rsid w:val="035148F2"/>
    <w:rsid w:val="035D3EE1"/>
    <w:rsid w:val="03667C72"/>
    <w:rsid w:val="03836A76"/>
    <w:rsid w:val="038850A8"/>
    <w:rsid w:val="03EA6727"/>
    <w:rsid w:val="041C1C06"/>
    <w:rsid w:val="04351B1E"/>
    <w:rsid w:val="044955CA"/>
    <w:rsid w:val="04732647"/>
    <w:rsid w:val="048E7480"/>
    <w:rsid w:val="04AC5B58"/>
    <w:rsid w:val="04C81AAC"/>
    <w:rsid w:val="04EA6DAD"/>
    <w:rsid w:val="05685F23"/>
    <w:rsid w:val="05697C53"/>
    <w:rsid w:val="05800AFA"/>
    <w:rsid w:val="05BE5B43"/>
    <w:rsid w:val="06306CD8"/>
    <w:rsid w:val="0653227E"/>
    <w:rsid w:val="068F4605"/>
    <w:rsid w:val="07153EF3"/>
    <w:rsid w:val="07293275"/>
    <w:rsid w:val="074B4F13"/>
    <w:rsid w:val="076170CE"/>
    <w:rsid w:val="07854B6B"/>
    <w:rsid w:val="079C1EB4"/>
    <w:rsid w:val="07A70F85"/>
    <w:rsid w:val="07C37441"/>
    <w:rsid w:val="07EF0236"/>
    <w:rsid w:val="081128A2"/>
    <w:rsid w:val="08471035"/>
    <w:rsid w:val="0870581B"/>
    <w:rsid w:val="08AF79C5"/>
    <w:rsid w:val="08C42B4D"/>
    <w:rsid w:val="08C71C28"/>
    <w:rsid w:val="08D51B22"/>
    <w:rsid w:val="08F37DE0"/>
    <w:rsid w:val="08FB06AD"/>
    <w:rsid w:val="08FF6B9F"/>
    <w:rsid w:val="09322AD0"/>
    <w:rsid w:val="093E76C7"/>
    <w:rsid w:val="096B7FC8"/>
    <w:rsid w:val="097053A7"/>
    <w:rsid w:val="099F7A3A"/>
    <w:rsid w:val="09BA40CD"/>
    <w:rsid w:val="0A5D1DCF"/>
    <w:rsid w:val="0AB45767"/>
    <w:rsid w:val="0B1D330C"/>
    <w:rsid w:val="0B1F783D"/>
    <w:rsid w:val="0B6B22C9"/>
    <w:rsid w:val="0BD25EA5"/>
    <w:rsid w:val="0C6531BD"/>
    <w:rsid w:val="0C970E9C"/>
    <w:rsid w:val="0C9B098C"/>
    <w:rsid w:val="0CD43E9E"/>
    <w:rsid w:val="0CD81BE1"/>
    <w:rsid w:val="0CF1211F"/>
    <w:rsid w:val="0D442DD2"/>
    <w:rsid w:val="0D680CDD"/>
    <w:rsid w:val="0DE6032D"/>
    <w:rsid w:val="0E160226"/>
    <w:rsid w:val="0E715E49"/>
    <w:rsid w:val="0E8813E4"/>
    <w:rsid w:val="0E8A6F0A"/>
    <w:rsid w:val="0EAE0E4B"/>
    <w:rsid w:val="0ED35683"/>
    <w:rsid w:val="0F20161D"/>
    <w:rsid w:val="0F5A4B2F"/>
    <w:rsid w:val="0F786D63"/>
    <w:rsid w:val="0FC41FA8"/>
    <w:rsid w:val="0FDF6E69"/>
    <w:rsid w:val="100A1363"/>
    <w:rsid w:val="100D7DF3"/>
    <w:rsid w:val="10AD6EE0"/>
    <w:rsid w:val="10DC786A"/>
    <w:rsid w:val="110034B4"/>
    <w:rsid w:val="12850115"/>
    <w:rsid w:val="12955E7E"/>
    <w:rsid w:val="12AA36D7"/>
    <w:rsid w:val="12FC7CAB"/>
    <w:rsid w:val="12FD5CDE"/>
    <w:rsid w:val="130152C1"/>
    <w:rsid w:val="13515E55"/>
    <w:rsid w:val="13FD017F"/>
    <w:rsid w:val="144B2C98"/>
    <w:rsid w:val="14BC3783"/>
    <w:rsid w:val="14CA0061"/>
    <w:rsid w:val="14CF1B1B"/>
    <w:rsid w:val="14D94748"/>
    <w:rsid w:val="151439D2"/>
    <w:rsid w:val="151E215B"/>
    <w:rsid w:val="15AD3540"/>
    <w:rsid w:val="15FE59E4"/>
    <w:rsid w:val="16375D8A"/>
    <w:rsid w:val="17AE3C6A"/>
    <w:rsid w:val="17D31922"/>
    <w:rsid w:val="1815582B"/>
    <w:rsid w:val="183D2099"/>
    <w:rsid w:val="184C5231"/>
    <w:rsid w:val="184D4837"/>
    <w:rsid w:val="18512847"/>
    <w:rsid w:val="18770500"/>
    <w:rsid w:val="18AE1A47"/>
    <w:rsid w:val="19055D6B"/>
    <w:rsid w:val="194E6447"/>
    <w:rsid w:val="19575C3B"/>
    <w:rsid w:val="19874E4D"/>
    <w:rsid w:val="1A141065"/>
    <w:rsid w:val="1A321A3E"/>
    <w:rsid w:val="1AA43102"/>
    <w:rsid w:val="1ABA2925"/>
    <w:rsid w:val="1B0E5AE3"/>
    <w:rsid w:val="1B2C3808"/>
    <w:rsid w:val="1B2E6E70"/>
    <w:rsid w:val="1B610FF3"/>
    <w:rsid w:val="1BA535D6"/>
    <w:rsid w:val="1BAD5FE6"/>
    <w:rsid w:val="1C5A0D28"/>
    <w:rsid w:val="1C672639"/>
    <w:rsid w:val="1C676ADD"/>
    <w:rsid w:val="1C8B457A"/>
    <w:rsid w:val="1CD53A34"/>
    <w:rsid w:val="1CE741E9"/>
    <w:rsid w:val="1D167BBB"/>
    <w:rsid w:val="1D1D719C"/>
    <w:rsid w:val="1D291FE4"/>
    <w:rsid w:val="1D507AAB"/>
    <w:rsid w:val="1D654F8F"/>
    <w:rsid w:val="1DA70CC5"/>
    <w:rsid w:val="1DBB0E8E"/>
    <w:rsid w:val="1DE77087"/>
    <w:rsid w:val="1E0D64C6"/>
    <w:rsid w:val="1E312EFF"/>
    <w:rsid w:val="1E7D6115"/>
    <w:rsid w:val="1E91530F"/>
    <w:rsid w:val="1EAA4A5F"/>
    <w:rsid w:val="1EE44415"/>
    <w:rsid w:val="1FB922B6"/>
    <w:rsid w:val="1FC658C9"/>
    <w:rsid w:val="200308CB"/>
    <w:rsid w:val="201C198C"/>
    <w:rsid w:val="20607ACB"/>
    <w:rsid w:val="20890D78"/>
    <w:rsid w:val="21076540"/>
    <w:rsid w:val="21262AC3"/>
    <w:rsid w:val="21EB0E6D"/>
    <w:rsid w:val="22494FD9"/>
    <w:rsid w:val="22B81E40"/>
    <w:rsid w:val="22C500B9"/>
    <w:rsid w:val="232057F5"/>
    <w:rsid w:val="237B69CA"/>
    <w:rsid w:val="238E0DF3"/>
    <w:rsid w:val="23A012DB"/>
    <w:rsid w:val="23D44FED"/>
    <w:rsid w:val="241D458E"/>
    <w:rsid w:val="24B25189"/>
    <w:rsid w:val="24B93C4E"/>
    <w:rsid w:val="24E94533"/>
    <w:rsid w:val="25137802"/>
    <w:rsid w:val="2551032A"/>
    <w:rsid w:val="25FE5FDD"/>
    <w:rsid w:val="261A1747"/>
    <w:rsid w:val="267C4F33"/>
    <w:rsid w:val="26996960"/>
    <w:rsid w:val="26AE08CC"/>
    <w:rsid w:val="26ED7BDF"/>
    <w:rsid w:val="27270DBE"/>
    <w:rsid w:val="27311F18"/>
    <w:rsid w:val="273B094A"/>
    <w:rsid w:val="27794C38"/>
    <w:rsid w:val="2784765C"/>
    <w:rsid w:val="27AC7A9A"/>
    <w:rsid w:val="27D56FF1"/>
    <w:rsid w:val="27EE7B5A"/>
    <w:rsid w:val="280B054C"/>
    <w:rsid w:val="283D6723"/>
    <w:rsid w:val="293715E5"/>
    <w:rsid w:val="294F4B81"/>
    <w:rsid w:val="29A80E22"/>
    <w:rsid w:val="29BB4E9F"/>
    <w:rsid w:val="29CC6106"/>
    <w:rsid w:val="2A1A6F3D"/>
    <w:rsid w:val="2A21651D"/>
    <w:rsid w:val="2A35616C"/>
    <w:rsid w:val="2A510485"/>
    <w:rsid w:val="2A964049"/>
    <w:rsid w:val="2AB978F8"/>
    <w:rsid w:val="2AD74E2E"/>
    <w:rsid w:val="2B69017C"/>
    <w:rsid w:val="2B786611"/>
    <w:rsid w:val="2BD17ACF"/>
    <w:rsid w:val="2BEA0B91"/>
    <w:rsid w:val="2C025EDA"/>
    <w:rsid w:val="2C314C36"/>
    <w:rsid w:val="2C892633"/>
    <w:rsid w:val="2CA46F92"/>
    <w:rsid w:val="2CFC574C"/>
    <w:rsid w:val="2D107A61"/>
    <w:rsid w:val="2D2F71A3"/>
    <w:rsid w:val="2D796670"/>
    <w:rsid w:val="2DFB52D7"/>
    <w:rsid w:val="2E057F04"/>
    <w:rsid w:val="2E2A1718"/>
    <w:rsid w:val="2E3305CD"/>
    <w:rsid w:val="2E4427DA"/>
    <w:rsid w:val="2E586286"/>
    <w:rsid w:val="2E6C3ADF"/>
    <w:rsid w:val="2E7C6418"/>
    <w:rsid w:val="2E7D5CEC"/>
    <w:rsid w:val="2EA8720D"/>
    <w:rsid w:val="2EDC0C65"/>
    <w:rsid w:val="2F083808"/>
    <w:rsid w:val="2F4B1946"/>
    <w:rsid w:val="2F8F217B"/>
    <w:rsid w:val="2FAD0853"/>
    <w:rsid w:val="2FC11C09"/>
    <w:rsid w:val="2FC30492"/>
    <w:rsid w:val="2FD47024"/>
    <w:rsid w:val="2FE36023"/>
    <w:rsid w:val="302C79CA"/>
    <w:rsid w:val="303D23C9"/>
    <w:rsid w:val="30711881"/>
    <w:rsid w:val="308D5BBA"/>
    <w:rsid w:val="310157A3"/>
    <w:rsid w:val="31153633"/>
    <w:rsid w:val="31794E91"/>
    <w:rsid w:val="31A2252C"/>
    <w:rsid w:val="31A57047"/>
    <w:rsid w:val="31B23EFF"/>
    <w:rsid w:val="31F14A27"/>
    <w:rsid w:val="321111A0"/>
    <w:rsid w:val="324B39AB"/>
    <w:rsid w:val="32575708"/>
    <w:rsid w:val="33437504"/>
    <w:rsid w:val="334D4507"/>
    <w:rsid w:val="33753436"/>
    <w:rsid w:val="33A43B9D"/>
    <w:rsid w:val="33C323F3"/>
    <w:rsid w:val="33CD5020"/>
    <w:rsid w:val="33F979F6"/>
    <w:rsid w:val="342A7B7F"/>
    <w:rsid w:val="34332944"/>
    <w:rsid w:val="346516FC"/>
    <w:rsid w:val="348951D6"/>
    <w:rsid w:val="34CD7A66"/>
    <w:rsid w:val="34DF14AF"/>
    <w:rsid w:val="34F30AB6"/>
    <w:rsid w:val="35103416"/>
    <w:rsid w:val="35A35D7C"/>
    <w:rsid w:val="35FC1BEC"/>
    <w:rsid w:val="360311CD"/>
    <w:rsid w:val="364D2243"/>
    <w:rsid w:val="37024FE0"/>
    <w:rsid w:val="370724AB"/>
    <w:rsid w:val="371A0AA2"/>
    <w:rsid w:val="37425D25"/>
    <w:rsid w:val="37A06147"/>
    <w:rsid w:val="37D25755"/>
    <w:rsid w:val="37EB3CC7"/>
    <w:rsid w:val="37FA7F8D"/>
    <w:rsid w:val="38105708"/>
    <w:rsid w:val="38173414"/>
    <w:rsid w:val="386046B4"/>
    <w:rsid w:val="386D5023"/>
    <w:rsid w:val="388A247F"/>
    <w:rsid w:val="38F117B0"/>
    <w:rsid w:val="38FD1F03"/>
    <w:rsid w:val="39041554"/>
    <w:rsid w:val="394505E5"/>
    <w:rsid w:val="394A0EC1"/>
    <w:rsid w:val="39531D4B"/>
    <w:rsid w:val="396401D4"/>
    <w:rsid w:val="39930ABA"/>
    <w:rsid w:val="399F745E"/>
    <w:rsid w:val="39BB20EE"/>
    <w:rsid w:val="39E11825"/>
    <w:rsid w:val="3A8B1791"/>
    <w:rsid w:val="3B037579"/>
    <w:rsid w:val="3B194FEF"/>
    <w:rsid w:val="3B47390A"/>
    <w:rsid w:val="3B556027"/>
    <w:rsid w:val="3B6B584A"/>
    <w:rsid w:val="3BF5780A"/>
    <w:rsid w:val="3C265C15"/>
    <w:rsid w:val="3CA44050"/>
    <w:rsid w:val="3CA93670"/>
    <w:rsid w:val="3CB85BFA"/>
    <w:rsid w:val="3CE33B06"/>
    <w:rsid w:val="3D256ABC"/>
    <w:rsid w:val="3D3E2AEA"/>
    <w:rsid w:val="3D606F05"/>
    <w:rsid w:val="3D7A6218"/>
    <w:rsid w:val="3DA025C7"/>
    <w:rsid w:val="3DA83180"/>
    <w:rsid w:val="3DB57E08"/>
    <w:rsid w:val="3E0B5F09"/>
    <w:rsid w:val="3ED25609"/>
    <w:rsid w:val="3EFB6EE5"/>
    <w:rsid w:val="3F091044"/>
    <w:rsid w:val="3F12422F"/>
    <w:rsid w:val="3F1632A4"/>
    <w:rsid w:val="3F48145A"/>
    <w:rsid w:val="3F495CE7"/>
    <w:rsid w:val="3F69386B"/>
    <w:rsid w:val="3F6A2C89"/>
    <w:rsid w:val="3F7F03E3"/>
    <w:rsid w:val="3F964E60"/>
    <w:rsid w:val="3FD414E4"/>
    <w:rsid w:val="40307062"/>
    <w:rsid w:val="406960D0"/>
    <w:rsid w:val="40BF6CFE"/>
    <w:rsid w:val="40E733DB"/>
    <w:rsid w:val="40ED4882"/>
    <w:rsid w:val="41C7549B"/>
    <w:rsid w:val="41EC520B"/>
    <w:rsid w:val="4205592C"/>
    <w:rsid w:val="42114C71"/>
    <w:rsid w:val="42156510"/>
    <w:rsid w:val="425A29CF"/>
    <w:rsid w:val="42E76CFE"/>
    <w:rsid w:val="42EB594C"/>
    <w:rsid w:val="42F00D2B"/>
    <w:rsid w:val="435272F0"/>
    <w:rsid w:val="43FD36FF"/>
    <w:rsid w:val="448E0C96"/>
    <w:rsid w:val="451E1B7F"/>
    <w:rsid w:val="45237BC3"/>
    <w:rsid w:val="4527694F"/>
    <w:rsid w:val="453F1647"/>
    <w:rsid w:val="4554734F"/>
    <w:rsid w:val="45770D27"/>
    <w:rsid w:val="457A6FA5"/>
    <w:rsid w:val="45AA5E96"/>
    <w:rsid w:val="45CA7611"/>
    <w:rsid w:val="45D466E2"/>
    <w:rsid w:val="45E576E3"/>
    <w:rsid w:val="461D3BE5"/>
    <w:rsid w:val="462C5BD6"/>
    <w:rsid w:val="46374214"/>
    <w:rsid w:val="464C0026"/>
    <w:rsid w:val="46583F16"/>
    <w:rsid w:val="46D149CF"/>
    <w:rsid w:val="46D85D5E"/>
    <w:rsid w:val="46E62229"/>
    <w:rsid w:val="47022DDB"/>
    <w:rsid w:val="47084C99"/>
    <w:rsid w:val="47215957"/>
    <w:rsid w:val="4760647F"/>
    <w:rsid w:val="47AD0D2F"/>
    <w:rsid w:val="480E5EDB"/>
    <w:rsid w:val="480F3A01"/>
    <w:rsid w:val="483E7E42"/>
    <w:rsid w:val="48693111"/>
    <w:rsid w:val="48877A3B"/>
    <w:rsid w:val="491D727D"/>
    <w:rsid w:val="495901C9"/>
    <w:rsid w:val="49767293"/>
    <w:rsid w:val="49971F00"/>
    <w:rsid w:val="499A3D85"/>
    <w:rsid w:val="499E503D"/>
    <w:rsid w:val="4A043F63"/>
    <w:rsid w:val="4A1452FF"/>
    <w:rsid w:val="4A3B0ADD"/>
    <w:rsid w:val="4A565917"/>
    <w:rsid w:val="4A841EEE"/>
    <w:rsid w:val="4B1F03FF"/>
    <w:rsid w:val="4BA426B2"/>
    <w:rsid w:val="4BE86A43"/>
    <w:rsid w:val="4BED22AB"/>
    <w:rsid w:val="4C013675"/>
    <w:rsid w:val="4C3954F1"/>
    <w:rsid w:val="4C6753F2"/>
    <w:rsid w:val="4CD174D7"/>
    <w:rsid w:val="4CFF68E6"/>
    <w:rsid w:val="4D2E200A"/>
    <w:rsid w:val="4D970721"/>
    <w:rsid w:val="4DAD1CF2"/>
    <w:rsid w:val="4DC94652"/>
    <w:rsid w:val="4EB250E6"/>
    <w:rsid w:val="4EC43795"/>
    <w:rsid w:val="4EE01C53"/>
    <w:rsid w:val="4EE2777A"/>
    <w:rsid w:val="4EF83441"/>
    <w:rsid w:val="4EF92D15"/>
    <w:rsid w:val="4F563CC4"/>
    <w:rsid w:val="4FB70C06"/>
    <w:rsid w:val="4FB8497E"/>
    <w:rsid w:val="4FB940D4"/>
    <w:rsid w:val="4FC326FC"/>
    <w:rsid w:val="5038161B"/>
    <w:rsid w:val="50CC2D3D"/>
    <w:rsid w:val="50CF6FF9"/>
    <w:rsid w:val="50DE0415"/>
    <w:rsid w:val="50F11EF6"/>
    <w:rsid w:val="512C4732"/>
    <w:rsid w:val="518C7E71"/>
    <w:rsid w:val="519D207E"/>
    <w:rsid w:val="51C25640"/>
    <w:rsid w:val="51E1640E"/>
    <w:rsid w:val="52152582"/>
    <w:rsid w:val="523A78CD"/>
    <w:rsid w:val="52650DED"/>
    <w:rsid w:val="528E120F"/>
    <w:rsid w:val="52954DAF"/>
    <w:rsid w:val="52F263F9"/>
    <w:rsid w:val="530127B4"/>
    <w:rsid w:val="537D3F15"/>
    <w:rsid w:val="5384304A"/>
    <w:rsid w:val="54694499"/>
    <w:rsid w:val="546D21DB"/>
    <w:rsid w:val="54C512AF"/>
    <w:rsid w:val="550B2046"/>
    <w:rsid w:val="55165357"/>
    <w:rsid w:val="552F31C5"/>
    <w:rsid w:val="55564A1D"/>
    <w:rsid w:val="558F7F2F"/>
    <w:rsid w:val="55E419F5"/>
    <w:rsid w:val="55FA184D"/>
    <w:rsid w:val="560052DC"/>
    <w:rsid w:val="5621502B"/>
    <w:rsid w:val="567F1D52"/>
    <w:rsid w:val="569C2904"/>
    <w:rsid w:val="56BD287A"/>
    <w:rsid w:val="56E147BB"/>
    <w:rsid w:val="575431DF"/>
    <w:rsid w:val="578838C8"/>
    <w:rsid w:val="57CA6432"/>
    <w:rsid w:val="57D305A7"/>
    <w:rsid w:val="57EC1669"/>
    <w:rsid w:val="586B7F47"/>
    <w:rsid w:val="588A55A2"/>
    <w:rsid w:val="58B06B3A"/>
    <w:rsid w:val="58C15B38"/>
    <w:rsid w:val="58C3686E"/>
    <w:rsid w:val="59281F8A"/>
    <w:rsid w:val="59296F38"/>
    <w:rsid w:val="595B4CF8"/>
    <w:rsid w:val="596A4F3B"/>
    <w:rsid w:val="59734FEA"/>
    <w:rsid w:val="59C6247C"/>
    <w:rsid w:val="59CD7278"/>
    <w:rsid w:val="59F12F67"/>
    <w:rsid w:val="59F929C7"/>
    <w:rsid w:val="5A13112F"/>
    <w:rsid w:val="5A1D0200"/>
    <w:rsid w:val="5A3612C1"/>
    <w:rsid w:val="5A7F67C4"/>
    <w:rsid w:val="5A8D6635"/>
    <w:rsid w:val="5A9037EF"/>
    <w:rsid w:val="5AC51922"/>
    <w:rsid w:val="5AED2D08"/>
    <w:rsid w:val="5B0867BA"/>
    <w:rsid w:val="5B127639"/>
    <w:rsid w:val="5B6559BA"/>
    <w:rsid w:val="5C294C3A"/>
    <w:rsid w:val="5C9C6358"/>
    <w:rsid w:val="5CC26E3C"/>
    <w:rsid w:val="5CD326DF"/>
    <w:rsid w:val="5CDD5A24"/>
    <w:rsid w:val="5D19652E"/>
    <w:rsid w:val="5D5E6B65"/>
    <w:rsid w:val="5D6A330F"/>
    <w:rsid w:val="5D7E0981"/>
    <w:rsid w:val="5D924A61"/>
    <w:rsid w:val="5DA16A52"/>
    <w:rsid w:val="5DA3576C"/>
    <w:rsid w:val="5DFC6146"/>
    <w:rsid w:val="5E082F75"/>
    <w:rsid w:val="5E316028"/>
    <w:rsid w:val="5E6E2DD8"/>
    <w:rsid w:val="5E856373"/>
    <w:rsid w:val="5ECE7D1A"/>
    <w:rsid w:val="5EE634FC"/>
    <w:rsid w:val="5F216147"/>
    <w:rsid w:val="5F3758C0"/>
    <w:rsid w:val="5FAF36A8"/>
    <w:rsid w:val="5FB05672"/>
    <w:rsid w:val="5FC30F01"/>
    <w:rsid w:val="5FC37F08"/>
    <w:rsid w:val="5FD56075"/>
    <w:rsid w:val="5FF732A1"/>
    <w:rsid w:val="60031C46"/>
    <w:rsid w:val="603238D3"/>
    <w:rsid w:val="606A5821"/>
    <w:rsid w:val="60B36821"/>
    <w:rsid w:val="60E50CEA"/>
    <w:rsid w:val="614B38A4"/>
    <w:rsid w:val="617D1584"/>
    <w:rsid w:val="618943CD"/>
    <w:rsid w:val="6192511E"/>
    <w:rsid w:val="61C471B3"/>
    <w:rsid w:val="61C87DD7"/>
    <w:rsid w:val="61D36B8F"/>
    <w:rsid w:val="61F85923"/>
    <w:rsid w:val="626A5FAC"/>
    <w:rsid w:val="62C40E3D"/>
    <w:rsid w:val="62F13FD7"/>
    <w:rsid w:val="62F93C4D"/>
    <w:rsid w:val="63343EC4"/>
    <w:rsid w:val="63EB6C79"/>
    <w:rsid w:val="644545DB"/>
    <w:rsid w:val="648E5885"/>
    <w:rsid w:val="64C00105"/>
    <w:rsid w:val="65130235"/>
    <w:rsid w:val="65330786"/>
    <w:rsid w:val="658253BB"/>
    <w:rsid w:val="65C51777"/>
    <w:rsid w:val="65C6174B"/>
    <w:rsid w:val="65DD759E"/>
    <w:rsid w:val="65F20792"/>
    <w:rsid w:val="660109D5"/>
    <w:rsid w:val="664B1C51"/>
    <w:rsid w:val="664D755C"/>
    <w:rsid w:val="66611474"/>
    <w:rsid w:val="66C739CD"/>
    <w:rsid w:val="67220C03"/>
    <w:rsid w:val="67226E55"/>
    <w:rsid w:val="674212A6"/>
    <w:rsid w:val="67580AC9"/>
    <w:rsid w:val="67703935"/>
    <w:rsid w:val="67C229F1"/>
    <w:rsid w:val="683C7A70"/>
    <w:rsid w:val="68664B20"/>
    <w:rsid w:val="68896A60"/>
    <w:rsid w:val="689C1913"/>
    <w:rsid w:val="68A1109B"/>
    <w:rsid w:val="68B8495E"/>
    <w:rsid w:val="693B41FE"/>
    <w:rsid w:val="69DC78A7"/>
    <w:rsid w:val="69E421A0"/>
    <w:rsid w:val="6A002573"/>
    <w:rsid w:val="6A4725F3"/>
    <w:rsid w:val="6A7D6418"/>
    <w:rsid w:val="6ABA73A5"/>
    <w:rsid w:val="6AC741AE"/>
    <w:rsid w:val="6B017AB2"/>
    <w:rsid w:val="6B3D2B91"/>
    <w:rsid w:val="6B453112"/>
    <w:rsid w:val="6B4B0088"/>
    <w:rsid w:val="6BA22313"/>
    <w:rsid w:val="6BBD20E2"/>
    <w:rsid w:val="6BE05205"/>
    <w:rsid w:val="6BF16DF6"/>
    <w:rsid w:val="6C6E48EB"/>
    <w:rsid w:val="6C80656F"/>
    <w:rsid w:val="6D8C5028"/>
    <w:rsid w:val="6E526272"/>
    <w:rsid w:val="6EB72579"/>
    <w:rsid w:val="6F140344"/>
    <w:rsid w:val="6F4A63C2"/>
    <w:rsid w:val="6F604F44"/>
    <w:rsid w:val="6FA51C51"/>
    <w:rsid w:val="6FD40F09"/>
    <w:rsid w:val="70076BE8"/>
    <w:rsid w:val="700E61C9"/>
    <w:rsid w:val="703D6AAE"/>
    <w:rsid w:val="70822713"/>
    <w:rsid w:val="70B17139"/>
    <w:rsid w:val="717F6C52"/>
    <w:rsid w:val="71A0126D"/>
    <w:rsid w:val="71EC42E8"/>
    <w:rsid w:val="726B5B54"/>
    <w:rsid w:val="727F35CB"/>
    <w:rsid w:val="72A921D9"/>
    <w:rsid w:val="72B666A4"/>
    <w:rsid w:val="72FD42D3"/>
    <w:rsid w:val="73095797"/>
    <w:rsid w:val="730F02EE"/>
    <w:rsid w:val="73AB01D2"/>
    <w:rsid w:val="744C3764"/>
    <w:rsid w:val="74512B28"/>
    <w:rsid w:val="748C0004"/>
    <w:rsid w:val="748E1CF9"/>
    <w:rsid w:val="74CB28DA"/>
    <w:rsid w:val="74E0215D"/>
    <w:rsid w:val="74F811F5"/>
    <w:rsid w:val="74FD160B"/>
    <w:rsid w:val="753C1D2E"/>
    <w:rsid w:val="753D30AC"/>
    <w:rsid w:val="75506D25"/>
    <w:rsid w:val="75670966"/>
    <w:rsid w:val="757846C1"/>
    <w:rsid w:val="765877A7"/>
    <w:rsid w:val="766528BB"/>
    <w:rsid w:val="76670A93"/>
    <w:rsid w:val="76946CFC"/>
    <w:rsid w:val="76BD44A5"/>
    <w:rsid w:val="771B11CB"/>
    <w:rsid w:val="77811976"/>
    <w:rsid w:val="77B50825"/>
    <w:rsid w:val="77C27D53"/>
    <w:rsid w:val="77F20752"/>
    <w:rsid w:val="780600CD"/>
    <w:rsid w:val="78186A8E"/>
    <w:rsid w:val="78193C47"/>
    <w:rsid w:val="782F187F"/>
    <w:rsid w:val="78406F0E"/>
    <w:rsid w:val="78917997"/>
    <w:rsid w:val="789D458E"/>
    <w:rsid w:val="78BE62B2"/>
    <w:rsid w:val="78C935D5"/>
    <w:rsid w:val="79564FBE"/>
    <w:rsid w:val="79892F65"/>
    <w:rsid w:val="798E1D1D"/>
    <w:rsid w:val="79DE2CA7"/>
    <w:rsid w:val="79F167F8"/>
    <w:rsid w:val="7A0F5207"/>
    <w:rsid w:val="7A6A04A0"/>
    <w:rsid w:val="7ABB519F"/>
    <w:rsid w:val="7AC027B5"/>
    <w:rsid w:val="7AEA338E"/>
    <w:rsid w:val="7AFD7566"/>
    <w:rsid w:val="7B9003DA"/>
    <w:rsid w:val="7B913DD9"/>
    <w:rsid w:val="7B971768"/>
    <w:rsid w:val="7BD7383E"/>
    <w:rsid w:val="7BE71C71"/>
    <w:rsid w:val="7C4A37D5"/>
    <w:rsid w:val="7CB17734"/>
    <w:rsid w:val="7CF36E72"/>
    <w:rsid w:val="7D053DE8"/>
    <w:rsid w:val="7D292894"/>
    <w:rsid w:val="7DFA7D8C"/>
    <w:rsid w:val="7E0B03DC"/>
    <w:rsid w:val="7E1F3C97"/>
    <w:rsid w:val="7E250964"/>
    <w:rsid w:val="7E7F4735"/>
    <w:rsid w:val="7EFC654D"/>
    <w:rsid w:val="7F121106"/>
    <w:rsid w:val="7F233313"/>
    <w:rsid w:val="7F631961"/>
    <w:rsid w:val="7F6C6BA7"/>
    <w:rsid w:val="7FA95CA0"/>
    <w:rsid w:val="7FB81CAD"/>
    <w:rsid w:val="7FBA3C7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link w:val="29"/>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link w:val="19"/>
    <w:unhideWhenUsed/>
    <w:qFormat/>
    <w:uiPriority w:val="0"/>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Theme="minorHAnsi" w:hAnsiTheme="minorHAnsi" w:eastAsiaTheme="minorEastAsia" w:cstheme="minorBidi"/>
    </w:rPr>
  </w:style>
  <w:style w:type="paragraph" w:styleId="6">
    <w:name w:val="annotation subject"/>
    <w:basedOn w:val="7"/>
    <w:next w:val="7"/>
    <w:link w:val="25"/>
    <w:qFormat/>
    <w:uiPriority w:val="0"/>
    <w:rPr>
      <w:b/>
      <w:bCs/>
    </w:rPr>
  </w:style>
  <w:style w:type="paragraph" w:styleId="7">
    <w:name w:val="annotation text"/>
    <w:basedOn w:val="1"/>
    <w:link w:val="24"/>
    <w:qFormat/>
    <w:uiPriority w:val="0"/>
    <w:pPr>
      <w:jc w:val="left"/>
    </w:pPr>
  </w:style>
  <w:style w:type="paragraph" w:styleId="8">
    <w:name w:val="Body Text"/>
    <w:basedOn w:val="1"/>
    <w:unhideWhenUsed/>
    <w:qFormat/>
    <w:uiPriority w:val="99"/>
    <w:pPr>
      <w:tabs>
        <w:tab w:val="left" w:pos="0"/>
      </w:tabs>
    </w:pPr>
    <w:rPr>
      <w:rFonts w:ascii="宋体" w:hAnsi="宋体" w:eastAsia="仿宋_GB2312"/>
      <w:color w:val="000000"/>
      <w:sz w:val="24"/>
    </w:rPr>
  </w:style>
  <w:style w:type="paragraph" w:styleId="9">
    <w:name w:val="Body Text Indent 2"/>
    <w:basedOn w:val="1"/>
    <w:qFormat/>
    <w:uiPriority w:val="0"/>
    <w:pPr>
      <w:spacing w:after="120" w:line="480" w:lineRule="auto"/>
      <w:ind w:left="420" w:leftChars="200"/>
    </w:pPr>
  </w:style>
  <w:style w:type="paragraph" w:styleId="10">
    <w:name w:val="Balloon Text"/>
    <w:basedOn w:val="1"/>
    <w:link w:val="26"/>
    <w:qFormat/>
    <w:uiPriority w:val="0"/>
    <w:rPr>
      <w:sz w:val="18"/>
      <w:szCs w:val="18"/>
    </w:rPr>
  </w:style>
  <w:style w:type="paragraph" w:styleId="11">
    <w:name w:val="footer"/>
    <w:basedOn w:val="1"/>
    <w:link w:val="22"/>
    <w:qFormat/>
    <w:uiPriority w:val="0"/>
    <w:pPr>
      <w:tabs>
        <w:tab w:val="center" w:pos="4153"/>
        <w:tab w:val="right" w:pos="8306"/>
      </w:tabs>
      <w:snapToGrid w:val="0"/>
      <w:jc w:val="left"/>
    </w:pPr>
    <w:rPr>
      <w:sz w:val="18"/>
      <w:szCs w:val="18"/>
    </w:rPr>
  </w:style>
  <w:style w:type="paragraph" w:styleId="12">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rPr>
      <w:rFonts w:ascii="Calibri" w:hAnsi="Calibri"/>
      <w:szCs w:val="20"/>
    </w:rPr>
  </w:style>
  <w:style w:type="paragraph" w:styleId="14">
    <w:name w:val="Normal (Web)"/>
    <w:basedOn w:val="1"/>
    <w:qFormat/>
    <w:uiPriority w:val="99"/>
    <w:pPr>
      <w:spacing w:beforeAutospacing="1" w:afterAutospacing="1"/>
      <w:jc w:val="left"/>
    </w:pPr>
    <w:rPr>
      <w:kern w:val="0"/>
      <w:sz w:val="24"/>
    </w:rPr>
  </w:style>
  <w:style w:type="character" w:styleId="16">
    <w:name w:val="Strong"/>
    <w:basedOn w:val="15"/>
    <w:qFormat/>
    <w:uiPriority w:val="0"/>
    <w:rPr>
      <w:b/>
    </w:rPr>
  </w:style>
  <w:style w:type="character" w:styleId="17">
    <w:name w:val="annotation reference"/>
    <w:basedOn w:val="15"/>
    <w:qFormat/>
    <w:uiPriority w:val="0"/>
    <w:rPr>
      <w:sz w:val="21"/>
      <w:szCs w:val="21"/>
    </w:rPr>
  </w:style>
  <w:style w:type="character" w:customStyle="1" w:styleId="19">
    <w:name w:val="标题 3 Char"/>
    <w:basedOn w:val="15"/>
    <w:link w:val="5"/>
    <w:qFormat/>
    <w:uiPriority w:val="0"/>
    <w:rPr>
      <w:b/>
      <w:bCs/>
      <w:kern w:val="2"/>
      <w:sz w:val="32"/>
      <w:szCs w:val="32"/>
    </w:rPr>
  </w:style>
  <w:style w:type="paragraph" w:customStyle="1" w:styleId="20">
    <w:name w:val="列表段落1"/>
    <w:basedOn w:val="1"/>
    <w:qFormat/>
    <w:uiPriority w:val="99"/>
    <w:pPr>
      <w:ind w:firstLine="420" w:firstLineChars="200"/>
    </w:pPr>
  </w:style>
  <w:style w:type="character" w:customStyle="1" w:styleId="21">
    <w:name w:val="页眉 Char"/>
    <w:basedOn w:val="15"/>
    <w:link w:val="12"/>
    <w:qFormat/>
    <w:uiPriority w:val="0"/>
    <w:rPr>
      <w:kern w:val="2"/>
      <w:sz w:val="18"/>
      <w:szCs w:val="18"/>
    </w:rPr>
  </w:style>
  <w:style w:type="character" w:customStyle="1" w:styleId="22">
    <w:name w:val="页脚 Char"/>
    <w:basedOn w:val="15"/>
    <w:link w:val="11"/>
    <w:qFormat/>
    <w:uiPriority w:val="0"/>
    <w:rPr>
      <w:kern w:val="2"/>
      <w:sz w:val="18"/>
      <w:szCs w:val="18"/>
    </w:rPr>
  </w:style>
  <w:style w:type="paragraph" w:customStyle="1" w:styleId="23">
    <w:name w:val="列出段落1"/>
    <w:basedOn w:val="1"/>
    <w:qFormat/>
    <w:uiPriority w:val="99"/>
    <w:pPr>
      <w:ind w:firstLine="420" w:firstLineChars="200"/>
    </w:pPr>
  </w:style>
  <w:style w:type="character" w:customStyle="1" w:styleId="24">
    <w:name w:val="批注文字 Char"/>
    <w:basedOn w:val="15"/>
    <w:link w:val="7"/>
    <w:qFormat/>
    <w:uiPriority w:val="0"/>
    <w:rPr>
      <w:rFonts w:ascii="Times New Roman" w:hAnsi="Times New Roman" w:cs="Times New Roman"/>
      <w:kern w:val="2"/>
      <w:sz w:val="21"/>
      <w:szCs w:val="24"/>
    </w:rPr>
  </w:style>
  <w:style w:type="character" w:customStyle="1" w:styleId="25">
    <w:name w:val="批注主题 Char"/>
    <w:basedOn w:val="24"/>
    <w:link w:val="6"/>
    <w:qFormat/>
    <w:uiPriority w:val="0"/>
    <w:rPr>
      <w:rFonts w:ascii="Times New Roman" w:hAnsi="Times New Roman" w:cs="Times New Roman"/>
      <w:b/>
      <w:bCs/>
      <w:kern w:val="2"/>
      <w:sz w:val="21"/>
      <w:szCs w:val="24"/>
    </w:rPr>
  </w:style>
  <w:style w:type="character" w:customStyle="1" w:styleId="26">
    <w:name w:val="批注框文本 Char"/>
    <w:basedOn w:val="15"/>
    <w:link w:val="10"/>
    <w:qFormat/>
    <w:uiPriority w:val="0"/>
    <w:rPr>
      <w:rFonts w:ascii="Times New Roman" w:hAnsi="Times New Roman" w:cs="Times New Roman"/>
      <w:kern w:val="2"/>
      <w:sz w:val="18"/>
      <w:szCs w:val="18"/>
    </w:rPr>
  </w:style>
  <w:style w:type="paragraph" w:customStyle="1" w:styleId="27">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8">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标题 2 Char"/>
    <w:basedOn w:val="15"/>
    <w:link w:val="4"/>
    <w:qFormat/>
    <w:uiPriority w:val="0"/>
    <w:rPr>
      <w:rFonts w:ascii="Arial" w:hAnsi="Arial" w:eastAsia="黑体"/>
      <w:b/>
      <w:kern w:val="2"/>
      <w:sz w:val="32"/>
      <w:szCs w:val="24"/>
    </w:rPr>
  </w:style>
  <w:style w:type="character" w:customStyle="1" w:styleId="30">
    <w:name w:val="fontstyle01"/>
    <w:qFormat/>
    <w:uiPriority w:val="0"/>
    <w:rPr>
      <w:rFonts w:hint="eastAsia" w:ascii="仿宋_GB2312" w:eastAsia="仿宋_GB2312"/>
      <w:color w:val="000000"/>
      <w:sz w:val="32"/>
      <w:szCs w:val="32"/>
    </w:rPr>
  </w:style>
  <w:style w:type="paragraph" w:customStyle="1" w:styleId="31">
    <w:name w:val="修订3"/>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78E31F-1716-43A3-9BB2-50EC4EB527D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8796</Words>
  <Characters>9536</Characters>
  <Lines>69</Lines>
  <Paragraphs>19</Paragraphs>
  <ScaleCrop>false</ScaleCrop>
  <LinksUpToDate>false</LinksUpToDate>
  <CharactersWithSpaces>9679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2022-03-25T02:35:00Z</dcterms:created>
  <dc:creator>lenovo</dc:creator>
  <cp:lastModifiedBy>lenovo</cp:lastModifiedBy>
  <cp:lastPrinted>2023-05-19T02:21:00Z</cp:lastPrinted>
  <dcterms:modified xsi:type="dcterms:W3CDTF">2023-08-16T08:01:37Z</dcterms:modified>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F2C94392368A4159A062CA2B872D4954_13</vt:lpwstr>
  </property>
</Properties>
</file>