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rPr>
      </w:pPr>
      <w:bookmarkStart w:id="2" w:name="_GoBack"/>
      <w:bookmarkEnd w:id="2"/>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2022年度中央对北京彩票市场调控资金</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转移支付预算执行情况绩效自评报告</w:t>
      </w:r>
    </w:p>
    <w:p>
      <w:pPr>
        <w:spacing w:line="560" w:lineRule="exact"/>
        <w:ind w:firstLine="707" w:firstLineChars="221"/>
        <w:rPr>
          <w:rFonts w:hint="eastAsia" w:ascii="黑体" w:hAnsi="黑体" w:eastAsia="黑体"/>
          <w:sz w:val="32"/>
          <w:szCs w:val="32"/>
        </w:rPr>
      </w:pPr>
    </w:p>
    <w:p>
      <w:pPr>
        <w:spacing w:line="560" w:lineRule="exact"/>
        <w:ind w:firstLine="707" w:firstLineChars="221"/>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转移支付基本</w:t>
      </w:r>
      <w:r>
        <w:rPr>
          <w:rFonts w:ascii="黑体" w:hAnsi="黑体" w:eastAsia="黑体"/>
          <w:sz w:val="32"/>
          <w:szCs w:val="32"/>
        </w:rPr>
        <w:t>情况</w:t>
      </w:r>
    </w:p>
    <w:p>
      <w:pPr>
        <w:spacing w:line="560" w:lineRule="exact"/>
        <w:ind w:firstLine="707" w:firstLineChars="221"/>
        <w:rPr>
          <w:rFonts w:ascii="仿宋_GB2312" w:hAnsi="黑体" w:eastAsia="仿宋_GB2312"/>
          <w:sz w:val="32"/>
          <w:szCs w:val="32"/>
        </w:rPr>
      </w:pPr>
      <w:r>
        <w:rPr>
          <w:rFonts w:hint="eastAsia" w:ascii="仿宋_GB2312" w:hAnsi="黑体" w:eastAsia="仿宋_GB2312"/>
          <w:sz w:val="32"/>
          <w:szCs w:val="32"/>
        </w:rPr>
        <w:t>（一）彩票市场调控资金转移支付概况</w:t>
      </w:r>
    </w:p>
    <w:p>
      <w:pPr>
        <w:spacing w:line="560" w:lineRule="exact"/>
        <w:ind w:firstLine="707" w:firstLineChars="221"/>
        <w:rPr>
          <w:rFonts w:ascii="仿宋_GB2312" w:hAnsi="黑体" w:eastAsia="仿宋_GB2312"/>
          <w:sz w:val="32"/>
          <w:szCs w:val="32"/>
        </w:rPr>
      </w:pPr>
      <w:r>
        <w:rPr>
          <w:rFonts w:hint="eastAsia" w:ascii="仿宋_GB2312" w:hAnsi="黑体" w:eastAsia="仿宋_GB2312"/>
          <w:sz w:val="32"/>
          <w:szCs w:val="32"/>
        </w:rPr>
        <w:t>根据《财政部关于提前下达2022年彩票市场调控资金</w:t>
      </w:r>
      <w:r>
        <w:rPr>
          <w:rFonts w:ascii="仿宋_GB2312" w:hAnsi="黑体" w:eastAsia="仿宋_GB2312"/>
          <w:sz w:val="32"/>
          <w:szCs w:val="32"/>
        </w:rPr>
        <w:t>预算</w:t>
      </w:r>
      <w:r>
        <w:rPr>
          <w:rFonts w:hint="eastAsia" w:ascii="仿宋_GB2312" w:hAnsi="黑体" w:eastAsia="仿宋_GB2312"/>
          <w:sz w:val="32"/>
          <w:szCs w:val="32"/>
        </w:rPr>
        <w:t>的通知》（财综[2021]42号）及《北京市财政局关于批复北京市福利彩票发行中心2022年预算的函》（京财综指[2022]223号）文件，北京市财政局</w:t>
      </w:r>
      <w:r>
        <w:rPr>
          <w:rFonts w:ascii="仿宋_GB2312" w:hAnsi="黑体" w:eastAsia="仿宋_GB2312"/>
          <w:sz w:val="32"/>
          <w:szCs w:val="32"/>
        </w:rPr>
        <w:t>下达</w:t>
      </w:r>
      <w:r>
        <w:rPr>
          <w:rFonts w:hint="eastAsia" w:ascii="仿宋_GB2312" w:hAnsi="黑体" w:eastAsia="仿宋_GB2312"/>
          <w:sz w:val="32"/>
          <w:szCs w:val="32"/>
        </w:rPr>
        <w:t>北京市福利彩票发行中心2022年度彩票市场调控资金</w:t>
      </w:r>
      <w:r>
        <w:rPr>
          <w:rFonts w:ascii="仿宋_GB2312" w:hAnsi="黑体" w:eastAsia="仿宋_GB2312"/>
          <w:sz w:val="32"/>
          <w:szCs w:val="32"/>
        </w:rPr>
        <w:t>1129</w:t>
      </w:r>
      <w:r>
        <w:rPr>
          <w:rFonts w:hint="eastAsia" w:ascii="仿宋_GB2312" w:hAnsi="黑体" w:eastAsia="仿宋_GB2312"/>
          <w:sz w:val="32"/>
          <w:szCs w:val="32"/>
        </w:rPr>
        <w:t>万元，专项</w:t>
      </w:r>
      <w:r>
        <w:rPr>
          <w:rFonts w:ascii="仿宋_GB2312" w:hAnsi="黑体" w:eastAsia="仿宋_GB2312"/>
          <w:sz w:val="32"/>
          <w:szCs w:val="32"/>
        </w:rPr>
        <w:t>用</w:t>
      </w:r>
      <w:r>
        <w:rPr>
          <w:rFonts w:hint="eastAsia" w:ascii="仿宋_GB2312" w:hAnsi="黑体" w:eastAsia="仿宋_GB2312"/>
          <w:sz w:val="32"/>
          <w:szCs w:val="32"/>
        </w:rPr>
        <w:t>改善彩票业务设施及支持宣传国家彩票公益属性和社会责任。</w:t>
      </w:r>
    </w:p>
    <w:p>
      <w:pPr>
        <w:numPr>
          <w:ilvl w:val="0"/>
          <w:numId w:val="1"/>
        </w:numPr>
        <w:spacing w:line="560" w:lineRule="exact"/>
        <w:ind w:firstLine="707" w:firstLineChars="221"/>
        <w:rPr>
          <w:rFonts w:ascii="仿宋_GB2312" w:hAnsi="黑体" w:eastAsia="仿宋_GB2312"/>
          <w:sz w:val="32"/>
          <w:szCs w:val="32"/>
        </w:rPr>
      </w:pPr>
      <w:r>
        <w:rPr>
          <w:rFonts w:hint="eastAsia" w:ascii="仿宋_GB2312" w:hAnsi="黑体" w:eastAsia="仿宋_GB2312"/>
          <w:sz w:val="32"/>
          <w:szCs w:val="32"/>
        </w:rPr>
        <w:t>资金投入情况分析</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1.资金投入情况</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根据《北京市财政局关于批复北京市福利彩票发行中心2022年预算的函》（京财综指[2022]223号）文件要求，2022年彩票市场调控资金1129万元已拨付到位。</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2.资金执行情况</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市福彩中心2022年度彩票市场调控资金预算拨付金额1129万元，实际执行金额1125.618万元，年末结转结余3.382万元，预算执行比率99.70%。使用项目分别为：北京市福利彩票销售终端（专用设备）购置项目，预算金额590万元，执行金额590万元，预算执行比率100%；北京福彩公益及游戏宣传项目，预算金额539万元,执行金额535.618万元，预算执行比率99.37%。</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（三）资金管理情况分析</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市福彩中心严格按照《关于印发&lt;彩票市场调控资金管理办法&gt;的通知》(财综[2021]17号)文件要求，在项目资金管理上强化责任意识，加强转移支付资金支付制度管理，实行专款专用，严格执行项目审批、政府采购和固定资产管理相关内控要求，确保资金项目的安全性及提高预算执行效率，严格执行“收支两条线”的规定，确保财政资金使用安全。</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1.预算执行率</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2022年彩票市场调控资金预算资金1129万元，当年支出1125.618万元，年末结转结余3.382万元，预算执行率99.70%。</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2.分配科学性</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统筹考虑彩票市场调控资金总体目标、彩票销售机构业务费年度预算安排等因素，结合彩票销售机构资金需求及项目储备等情况，按照预算管理有关规定具体分配彩票市场调控资金下达预算指标。市福彩中心2022年彩票市场调控资金分配资金1129万元,主要包括 :北京市福利彩票销售终端（专用设备）购置项目,预算金额590万元;北京福彩公益及游戏宣传项目,预算金额539万元。</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3.下达及时性</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根据预算法及转移支出管理制度规定以及资金管理办法规定，财政部向省级财政部门下达彩票市场调控资金预算同步下达绩效目标，省级财政部门严格按照要求下达资金。市财政局在2022年度预算批复后，及时下达2022年彩票市场调控资金1129万元。</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4.拨付合规性</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按照国库集中支付制度有关规定支付资金，市福彩中心2022年彩票市场调控资金通过专款专拨专用，列入政府收支分类科目“2290808-彩票市场调控资金支出”使用。</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5.使用规范性</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彩票市场调控资金的支付按照国库集中支付制度有关规定执行，涉及政府采购的，严格按照政府采购的有关法律制度规定执行，依法公开政府采购信息，促进市场主题平等参与竞争。市福彩中心确保项目资金使用规范透明，未出现挤兑、挪用和擅自调整等问题。结转结余的彩票市场调控资金，已按照相关规定由市财政部门收回。</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6.执行准确性</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市福彩中心严格按照市财政下达和本部门预算安排的金额开展项目执行，不存在执行数偏离预算数较多的问题。</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7.预算绩效管理情况</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市福彩中心按照预算绩效管理的要求，健全预算绩效管理机制，合理设置绩效目标，通过事前评估、事中监控、事后评价的绩效管理流程，使得预算项目执行紧扣绩效指标要求。</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8.支出责任履行情况</w:t>
      </w:r>
    </w:p>
    <w:p>
      <w:pPr>
        <w:spacing w:line="560" w:lineRule="exact"/>
        <w:ind w:firstLine="566" w:firstLineChars="177"/>
        <w:rPr>
          <w:rFonts w:ascii="仿宋_GB2312" w:hAnsi="黑体" w:eastAsia="仿宋_GB2312"/>
          <w:sz w:val="32"/>
          <w:szCs w:val="32"/>
        </w:rPr>
      </w:pPr>
      <w:r>
        <w:rPr>
          <w:rFonts w:hint="eastAsia" w:ascii="仿宋_GB2312" w:hAnsi="黑体" w:eastAsia="仿宋_GB2312"/>
          <w:sz w:val="32"/>
          <w:szCs w:val="32"/>
        </w:rPr>
        <w:t>按照全面实施预算绩效管理的要求，建立健全全过程预算绩效管理机制，科学合理设置绩效目标，并对照绩效目标做好绩效运行监控。年度预算执行结束后，省级财政部门和彩票销售机构是绩效自评工作的责任主体和实施主体。市福彩中心严格按照财政事权和支出责任划分的有关规定，足额安排市场调控资金履行完成彩票销售机构的支出责任。</w:t>
      </w:r>
    </w:p>
    <w:p>
      <w:pPr>
        <w:spacing w:line="560" w:lineRule="exact"/>
        <w:ind w:firstLine="566" w:firstLineChars="177"/>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绩效目标实现</w:t>
      </w:r>
      <w:r>
        <w:rPr>
          <w:rFonts w:ascii="黑体" w:hAnsi="黑体" w:eastAsia="黑体"/>
          <w:sz w:val="32"/>
          <w:szCs w:val="32"/>
        </w:rPr>
        <w:t>情况</w:t>
      </w:r>
    </w:p>
    <w:p>
      <w:pPr>
        <w:spacing w:line="560" w:lineRule="exact"/>
        <w:ind w:firstLine="563" w:firstLineChars="176"/>
        <w:rPr>
          <w:rFonts w:ascii="仿宋_GB2312" w:hAnsi="黑体" w:eastAsia="仿宋_GB2312"/>
          <w:sz w:val="32"/>
          <w:szCs w:val="32"/>
        </w:rPr>
      </w:pPr>
      <w:r>
        <w:rPr>
          <w:rFonts w:hint="eastAsia" w:ascii="仿宋_GB2312" w:hAnsi="黑体" w:eastAsia="仿宋_GB2312"/>
          <w:sz w:val="32"/>
          <w:szCs w:val="32"/>
        </w:rPr>
        <w:t>（一）总体绩效目标完成情况分析。</w:t>
      </w:r>
    </w:p>
    <w:p>
      <w:pPr>
        <w:spacing w:line="560" w:lineRule="exact"/>
        <w:rPr>
          <w:rFonts w:ascii="仿宋_GB2312" w:hAnsi="黑体" w:eastAsia="仿宋_GB2312"/>
          <w:sz w:val="32"/>
          <w:szCs w:val="32"/>
        </w:rPr>
      </w:pPr>
      <w:r>
        <w:rPr>
          <w:rFonts w:hint="eastAsia" w:ascii="仿宋_GB2312" w:hAnsi="黑体" w:eastAsia="仿宋_GB2312"/>
          <w:sz w:val="32"/>
          <w:szCs w:val="32"/>
        </w:rPr>
        <w:t xml:space="preserve">    市福彩中心2022年彩票市场调控资金总体绩效目标全部完成，成效较为明显。</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w:t>
      </w:r>
      <w:r>
        <w:rPr>
          <w:rFonts w:ascii="仿宋_GB2312" w:hAnsi="黑体" w:eastAsia="仿宋_GB2312"/>
          <w:sz w:val="32"/>
          <w:szCs w:val="32"/>
        </w:rPr>
        <w:t>.</w:t>
      </w:r>
      <w:r>
        <w:rPr>
          <w:rFonts w:hint="eastAsia" w:ascii="仿宋_GB2312" w:hAnsi="黑体" w:eastAsia="仿宋_GB2312"/>
          <w:sz w:val="32"/>
          <w:szCs w:val="32"/>
        </w:rPr>
        <w:t>改善彩票业务设施方面。</w:t>
      </w:r>
    </w:p>
    <w:p>
      <w:pPr>
        <w:spacing w:line="560" w:lineRule="exact"/>
        <w:ind w:firstLine="640" w:firstLineChars="200"/>
        <w:rPr>
          <w:rFonts w:ascii="仿宋_GB2312" w:hAnsi="黑体" w:eastAsia="仿宋_GB2312"/>
          <w:sz w:val="32"/>
          <w:szCs w:val="32"/>
        </w:rPr>
      </w:pPr>
      <w:r>
        <w:rPr>
          <w:rFonts w:hint="eastAsia" w:ascii="仿宋_GB2312" w:hAnsi="仿宋" w:eastAsia="仿宋_GB2312"/>
          <w:sz w:val="32"/>
          <w:szCs w:val="32"/>
        </w:rPr>
        <w:t>北京市福利彩票销售终端（专用设备）购置项目主要</w:t>
      </w:r>
      <w:r>
        <w:rPr>
          <w:rFonts w:hint="eastAsia" w:ascii="仿宋_GB2312" w:hAnsi="黑体" w:eastAsia="仿宋_GB2312"/>
          <w:sz w:val="32"/>
          <w:szCs w:val="32"/>
        </w:rPr>
        <w:t>用于销售系统等业务设施的升级和改造，实施销售系统改造升级替换原有销售终端设备，实现了新旧销售系统之间的切换和数据互通，确保福利彩票实现“销售连续、数据准确、开奖安全”的平滑切换和稳定运行。本项目为市福彩中心向穗彩公司采购福彩销售终端设备3100套，租赁福彩销售系统1套以及购买相关技术服务1套，服务期自2021年1月1日至2023年12月31日止共3年。在资金使用方面，年度预算安排金额590万元，截至2022年12月31日，按照项目实施进度及完成情况实际使用金额590万元，资金支出比率</w:t>
      </w:r>
      <w:r>
        <w:rPr>
          <w:rFonts w:ascii="仿宋_GB2312" w:hAnsi="黑体" w:eastAsia="仿宋_GB2312"/>
          <w:sz w:val="32"/>
          <w:szCs w:val="32"/>
        </w:rPr>
        <w:t>为</w:t>
      </w:r>
      <w:r>
        <w:rPr>
          <w:rFonts w:hint="eastAsia" w:ascii="仿宋_GB2312" w:hAnsi="黑体" w:eastAsia="仿宋_GB2312"/>
          <w:sz w:val="32"/>
          <w:szCs w:val="32"/>
        </w:rPr>
        <w:t>100%，完成总体绩效目标。</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w:t>
      </w:r>
      <w:r>
        <w:rPr>
          <w:rFonts w:hint="eastAsia" w:ascii="仿宋_GB2312" w:hAnsi="黑体" w:eastAsia="仿宋_GB2312"/>
          <w:sz w:val="32"/>
          <w:szCs w:val="32"/>
        </w:rPr>
        <w:t>支持宣传国家彩票公益属性和社会责任方面。</w:t>
      </w:r>
    </w:p>
    <w:p>
      <w:pPr>
        <w:spacing w:line="560" w:lineRule="exact"/>
        <w:ind w:firstLine="640" w:firstLineChars="200"/>
        <w:rPr>
          <w:rFonts w:ascii="仿宋_GB2312" w:hAnsi="黑体" w:eastAsia="仿宋_GB2312"/>
          <w:sz w:val="32"/>
          <w:szCs w:val="32"/>
        </w:rPr>
      </w:pPr>
      <w:r>
        <w:rPr>
          <w:rFonts w:hint="eastAsia" w:ascii="仿宋_GB2312" w:hAnsi="仿宋" w:eastAsia="仿宋_GB2312"/>
          <w:sz w:val="32"/>
          <w:szCs w:val="32"/>
        </w:rPr>
        <w:t>北京福彩公益及游戏宣传项目主要</w:t>
      </w:r>
      <w:r>
        <w:rPr>
          <w:rFonts w:hint="eastAsia" w:ascii="仿宋_GB2312" w:hAnsi="黑体" w:eastAsia="仿宋_GB2312"/>
          <w:sz w:val="32"/>
          <w:szCs w:val="32"/>
        </w:rPr>
        <w:t>用于加大多领域公益宣传力度，树立福利彩票公益形象，使责任彩票理念深入人心，彩票公益属性和社会责任性有效显现。该项目重点在</w:t>
      </w:r>
      <w:r>
        <w:rPr>
          <w:rFonts w:hint="eastAsia" w:ascii="仿宋_GB2312" w:hAnsi="仿宋" w:eastAsia="仿宋_GB2312"/>
          <w:sz w:val="32"/>
          <w:szCs w:val="32"/>
        </w:rPr>
        <w:t>公交车身户外媒体宣传</w:t>
      </w:r>
      <w:r>
        <w:rPr>
          <w:rFonts w:hint="eastAsia" w:ascii="仿宋_GB2312" w:hAnsi="黑体" w:eastAsia="仿宋_GB2312"/>
          <w:sz w:val="32"/>
          <w:szCs w:val="32"/>
        </w:rPr>
        <w:t>、</w:t>
      </w:r>
      <w:r>
        <w:rPr>
          <w:rFonts w:hint="eastAsia" w:ascii="仿宋_GB2312" w:hAnsi="仿宋_GB2312" w:eastAsia="仿宋_GB2312" w:cs="仿宋_GB2312"/>
          <w:sz w:val="32"/>
          <w:szCs w:val="32"/>
        </w:rPr>
        <w:t>广播电台宣传</w:t>
      </w:r>
      <w:r>
        <w:rPr>
          <w:rFonts w:hint="eastAsia" w:ascii="仿宋_GB2312" w:hAnsi="黑体" w:eastAsia="仿宋_GB2312"/>
          <w:sz w:val="32"/>
          <w:szCs w:val="32"/>
        </w:rPr>
        <w:t>以及</w:t>
      </w:r>
      <w:r>
        <w:rPr>
          <w:rFonts w:hint="eastAsia" w:ascii="仿宋_GB2312" w:hAnsi="仿宋_GB2312" w:eastAsia="仿宋_GB2312" w:cs="仿宋_GB2312"/>
          <w:sz w:val="32"/>
          <w:szCs w:val="32"/>
        </w:rPr>
        <w:t>走进社区系列公益</w:t>
      </w:r>
      <w:r>
        <w:rPr>
          <w:rFonts w:hint="eastAsia" w:ascii="仿宋_GB2312" w:hAnsi="黑体" w:eastAsia="仿宋_GB2312"/>
          <w:sz w:val="32"/>
          <w:szCs w:val="32"/>
        </w:rPr>
        <w:t>领域上开展更大规模营销宣传，提升购彩者对福利彩票的专注度，扩大福彩公益品牌影响力，使得市场份额逐步上升，福彩市场份额得到结构性优化。在资金使用方面，年度预算安排金额539万元，截至2022年12月31日，按照项目实施进度及完成情况实际使用金额535.618万元，其中公交车身户外媒体宣传项目实际使用金额186万元，广播电台宣传项目实际使用金额196.668万元，走进社区系列公益项目实际使用金额152.95万元。</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综上</w:t>
      </w:r>
      <w:r>
        <w:rPr>
          <w:rFonts w:ascii="仿宋_GB2312" w:hAnsi="黑体" w:eastAsia="仿宋_GB2312"/>
          <w:sz w:val="32"/>
          <w:szCs w:val="32"/>
        </w:rPr>
        <w:t>所</w:t>
      </w:r>
      <w:r>
        <w:rPr>
          <w:rFonts w:hint="eastAsia" w:ascii="仿宋_GB2312" w:hAnsi="黑体" w:eastAsia="仿宋_GB2312"/>
          <w:sz w:val="32"/>
          <w:szCs w:val="32"/>
        </w:rPr>
        <w:t>述，2022年彩票市场调控资金执行金额1125.628万元，预算执行率99.70%，完成总体绩效目标。</w:t>
      </w:r>
    </w:p>
    <w:p>
      <w:pPr>
        <w:pStyle w:val="10"/>
        <w:spacing w:line="560" w:lineRule="exact"/>
        <w:ind w:left="710" w:firstLine="0" w:firstLineChars="0"/>
        <w:rPr>
          <w:rFonts w:ascii="仿宋_GB2312" w:hAnsi="黑体" w:eastAsia="仿宋_GB2312"/>
          <w:sz w:val="32"/>
          <w:szCs w:val="32"/>
        </w:rPr>
      </w:pPr>
      <w:r>
        <w:rPr>
          <w:rFonts w:hint="eastAsia" w:ascii="仿宋_GB2312" w:hAnsi="黑体" w:eastAsia="仿宋_GB2312"/>
          <w:sz w:val="32"/>
          <w:szCs w:val="32"/>
        </w:rPr>
        <w:t>（二）绩效指标完成情况分析。</w:t>
      </w:r>
    </w:p>
    <w:p>
      <w:pPr>
        <w:spacing w:line="560" w:lineRule="exact"/>
        <w:ind w:firstLine="640"/>
        <w:jc w:val="left"/>
        <w:rPr>
          <w:rFonts w:ascii="仿宋_GB2312" w:hAnsi="仿宋_GB2312" w:eastAsia="仿宋_GB2312"/>
          <w:sz w:val="32"/>
          <w:szCs w:val="32"/>
        </w:rPr>
      </w:pPr>
      <w:r>
        <w:rPr>
          <w:rFonts w:hint="eastAsia" w:ascii="仿宋_GB2312" w:hAnsi="仿宋_GB2312" w:eastAsia="仿宋_GB2312"/>
          <w:sz w:val="32"/>
          <w:szCs w:val="32"/>
        </w:rPr>
        <w:t>1.产出指标</w:t>
      </w:r>
      <w:bookmarkStart w:id="0" w:name="_Hlk134888635"/>
      <w:r>
        <w:rPr>
          <w:rFonts w:hint="eastAsia" w:ascii="仿宋_GB2312" w:hAnsi="仿宋_GB2312" w:eastAsia="仿宋_GB2312"/>
          <w:sz w:val="32"/>
          <w:szCs w:val="32"/>
        </w:rPr>
        <w:t>完成情况分析</w:t>
      </w:r>
      <w:bookmarkEnd w:id="0"/>
    </w:p>
    <w:p>
      <w:pPr>
        <w:spacing w:line="560" w:lineRule="exact"/>
        <w:ind w:firstLine="640"/>
        <w:jc w:val="left"/>
        <w:rPr>
          <w:rFonts w:ascii="仿宋_GB2312" w:hAnsi="仿宋_GB2312" w:eastAsia="仿宋_GB2312"/>
          <w:sz w:val="32"/>
          <w:szCs w:val="32"/>
        </w:rPr>
      </w:pPr>
      <w:r>
        <w:rPr>
          <w:rFonts w:hint="eastAsia" w:ascii="仿宋_GB2312" w:hAnsi="黑体" w:eastAsia="仿宋_GB2312"/>
          <w:sz w:val="32"/>
          <w:szCs w:val="32"/>
        </w:rPr>
        <w:t>（</w:t>
      </w:r>
      <w:r>
        <w:rPr>
          <w:rFonts w:ascii="仿宋_GB2312" w:hAnsi="黑体" w:eastAsia="仿宋_GB2312"/>
          <w:sz w:val="32"/>
          <w:szCs w:val="32"/>
        </w:rPr>
        <w:t>1</w:t>
      </w:r>
      <w:r>
        <w:rPr>
          <w:rFonts w:hint="eastAsia" w:ascii="仿宋_GB2312" w:hAnsi="黑体" w:eastAsia="仿宋_GB2312"/>
          <w:sz w:val="32"/>
          <w:szCs w:val="32"/>
        </w:rPr>
        <w:t>）</w:t>
      </w:r>
      <w:r>
        <w:rPr>
          <w:rFonts w:hint="eastAsia" w:ascii="仿宋_GB2312" w:hAnsi="仿宋_GB2312" w:eastAsia="仿宋_GB2312"/>
          <w:sz w:val="32"/>
          <w:szCs w:val="32"/>
        </w:rPr>
        <w:t>数量指标</w:t>
      </w:r>
    </w:p>
    <w:p>
      <w:pPr>
        <w:spacing w:line="560" w:lineRule="exact"/>
        <w:ind w:firstLine="640" w:firstLineChars="200"/>
        <w:jc w:val="left"/>
        <w:rPr>
          <w:rFonts w:ascii="仿宋_GB2312" w:eastAsia="仿宋_GB2312" w:cs="仿宋_GB2312"/>
          <w:kern w:val="0"/>
          <w:sz w:val="32"/>
          <w:szCs w:val="32"/>
        </w:rPr>
      </w:pPr>
      <w:r>
        <w:rPr>
          <w:rFonts w:hint="eastAsia" w:ascii="仿宋_GB2312" w:hAnsi="仿宋_GB2312" w:eastAsia="仿宋_GB2312" w:cs="仿宋_GB2312"/>
          <w:sz w:val="32"/>
          <w:szCs w:val="32"/>
        </w:rPr>
        <w:t>①</w:t>
      </w:r>
      <w:r>
        <w:rPr>
          <w:rFonts w:hint="eastAsia" w:ascii="仿宋_GB2312" w:hAnsi="仿宋_GB2312" w:eastAsia="仿宋_GB2312"/>
          <w:sz w:val="32"/>
          <w:szCs w:val="32"/>
        </w:rPr>
        <w:t>彩票销售额</w:t>
      </w:r>
      <w:bookmarkStart w:id="1" w:name="_Hlk134889430"/>
      <w:r>
        <w:rPr>
          <w:rFonts w:hint="eastAsia" w:ascii="仿宋_GB2312" w:hAnsi="仿宋_GB2312" w:eastAsia="仿宋_GB2312"/>
          <w:sz w:val="32"/>
          <w:szCs w:val="32"/>
        </w:rPr>
        <w:t>≥上年销售额</w:t>
      </w:r>
      <w:r>
        <w:rPr>
          <w:rFonts w:hint="eastAsia" w:ascii="仿宋_GB2312" w:eastAsia="仿宋_GB2312" w:cs="仿宋_GB2312"/>
          <w:kern w:val="0"/>
          <w:sz w:val="32"/>
          <w:szCs w:val="32"/>
        </w:rPr>
        <w:t>80%</w:t>
      </w:r>
      <w:bookmarkEnd w:id="1"/>
    </w:p>
    <w:p>
      <w:pPr>
        <w:pStyle w:val="2"/>
        <w:tabs>
          <w:tab w:val="left" w:pos="0"/>
        </w:tabs>
        <w:ind w:left="0" w:leftChars="0" w:firstLine="640"/>
        <w:rPr>
          <w:rFonts w:ascii="仿宋_GB2312" w:eastAsia="仿宋_GB2312" w:cs="仿宋_GB2312"/>
          <w:sz w:val="32"/>
          <w:szCs w:val="32"/>
        </w:rPr>
      </w:pPr>
      <w:r>
        <w:rPr>
          <w:rFonts w:hint="eastAsia" w:ascii="仿宋_GB2312" w:eastAsia="仿宋_GB2312" w:cs="仿宋_GB2312"/>
          <w:sz w:val="32"/>
          <w:szCs w:val="32"/>
        </w:rPr>
        <w:t>本市</w:t>
      </w:r>
      <w:r>
        <w:rPr>
          <w:rFonts w:ascii="仿宋_GB2312" w:eastAsia="仿宋_GB2312" w:cs="仿宋_GB2312"/>
          <w:sz w:val="32"/>
          <w:szCs w:val="32"/>
        </w:rPr>
        <w:t>20</w:t>
      </w:r>
      <w:r>
        <w:rPr>
          <w:rFonts w:hint="eastAsia" w:ascii="仿宋_GB2312" w:eastAsia="仿宋_GB2312" w:cs="仿宋_GB2312"/>
          <w:sz w:val="32"/>
          <w:szCs w:val="32"/>
        </w:rPr>
        <w:t>22年销售福利彩票358188.14万元，较2021年</w:t>
      </w:r>
      <w:r>
        <w:rPr>
          <w:rFonts w:ascii="仿宋_GB2312" w:eastAsia="仿宋_GB2312" w:cs="仿宋_GB2312"/>
          <w:sz w:val="32"/>
          <w:szCs w:val="32"/>
        </w:rPr>
        <w:t>销量</w:t>
      </w:r>
      <w:r>
        <w:rPr>
          <w:rFonts w:hint="eastAsia" w:ascii="仿宋_GB2312" w:eastAsia="仿宋_GB2312" w:cs="仿宋_GB2312"/>
          <w:sz w:val="32"/>
          <w:szCs w:val="32"/>
        </w:rPr>
        <w:t>358071.61万元</w:t>
      </w:r>
      <w:r>
        <w:rPr>
          <w:rFonts w:ascii="仿宋_GB2312" w:eastAsia="仿宋_GB2312" w:cs="仿宋_GB2312"/>
          <w:sz w:val="32"/>
          <w:szCs w:val="32"/>
        </w:rPr>
        <w:t>增</w:t>
      </w:r>
      <w:r>
        <w:rPr>
          <w:rFonts w:hint="eastAsia" w:ascii="仿宋_GB2312" w:eastAsia="仿宋_GB2312" w:cs="仿宋_GB2312"/>
          <w:sz w:val="32"/>
          <w:szCs w:val="32"/>
        </w:rPr>
        <w:t>加116.</w:t>
      </w:r>
      <w:r>
        <w:rPr>
          <w:rFonts w:ascii="仿宋_GB2312" w:eastAsia="仿宋_GB2312" w:cs="仿宋_GB2312"/>
          <w:sz w:val="32"/>
          <w:szCs w:val="32"/>
        </w:rPr>
        <w:t>53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为上年销量的100.03%，</w:t>
      </w:r>
      <w:r>
        <w:rPr>
          <w:rFonts w:ascii="仿宋_GB2312" w:eastAsia="仿宋_GB2312" w:cs="仿宋_GB2312"/>
          <w:sz w:val="32"/>
          <w:szCs w:val="32"/>
        </w:rPr>
        <w:t>完成彩票销售额</w:t>
      </w:r>
      <w:r>
        <w:rPr>
          <w:rFonts w:hint="eastAsia" w:ascii="仿宋_GB2312" w:hAnsi="仿宋_GB2312" w:eastAsia="仿宋_GB2312"/>
          <w:sz w:val="32"/>
          <w:szCs w:val="32"/>
        </w:rPr>
        <w:t>≥上年销售额</w:t>
      </w:r>
      <w:r>
        <w:rPr>
          <w:rFonts w:hint="eastAsia" w:ascii="仿宋_GB2312" w:eastAsia="仿宋_GB2312" w:cs="仿宋_GB2312"/>
          <w:sz w:val="32"/>
          <w:szCs w:val="32"/>
        </w:rPr>
        <w:t>80%的年度</w:t>
      </w:r>
      <w:r>
        <w:rPr>
          <w:rFonts w:ascii="仿宋_GB2312" w:eastAsia="仿宋_GB2312" w:cs="仿宋_GB2312"/>
          <w:sz w:val="32"/>
          <w:szCs w:val="32"/>
        </w:rPr>
        <w:t>绩效</w:t>
      </w:r>
      <w:r>
        <w:rPr>
          <w:rFonts w:hint="eastAsia" w:ascii="仿宋_GB2312" w:eastAsia="仿宋_GB2312" w:cs="仿宋_GB2312"/>
          <w:sz w:val="32"/>
          <w:szCs w:val="32"/>
        </w:rPr>
        <w:t>目标</w:t>
      </w:r>
      <w:r>
        <w:rPr>
          <w:rFonts w:ascii="仿宋_GB2312" w:eastAsia="仿宋_GB2312" w:cs="仿宋_GB2312"/>
          <w:sz w:val="32"/>
          <w:szCs w:val="32"/>
        </w:rPr>
        <w:t>。</w:t>
      </w:r>
    </w:p>
    <w:p>
      <w:pPr>
        <w:spacing w:line="560" w:lineRule="exact"/>
        <w:ind w:firstLine="640" w:firstLineChars="200"/>
        <w:jc w:val="left"/>
        <w:rPr>
          <w:rFonts w:ascii="仿宋_GB2312" w:eastAsia="仿宋_GB2312" w:cs="仿宋_GB2312"/>
          <w:kern w:val="0"/>
          <w:sz w:val="32"/>
          <w:szCs w:val="32"/>
        </w:rPr>
      </w:pPr>
      <w:r>
        <w:rPr>
          <w:rFonts w:hint="eastAsia" w:ascii="仿宋_GB2312" w:hAnsi="仿宋_GB2312" w:eastAsia="仿宋_GB2312" w:cs="仿宋_GB2312"/>
          <w:sz w:val="32"/>
          <w:szCs w:val="32"/>
        </w:rPr>
        <w:t>②投注终端数量≥上年数量</w:t>
      </w:r>
      <w:r>
        <w:rPr>
          <w:rFonts w:hint="eastAsia" w:ascii="仿宋_GB2312" w:eastAsia="仿宋_GB2312" w:cs="仿宋_GB2312"/>
          <w:kern w:val="0"/>
          <w:sz w:val="32"/>
          <w:szCs w:val="32"/>
        </w:rPr>
        <w:t>80%</w:t>
      </w:r>
    </w:p>
    <w:p>
      <w:pPr>
        <w:spacing w:line="560" w:lineRule="exact"/>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2022年末投注机终端数量为3100套，与上年数量持平，完成投注终端数量≥上年数量80%的年度</w:t>
      </w:r>
      <w:r>
        <w:rPr>
          <w:rFonts w:ascii="仿宋_GB2312" w:eastAsia="仿宋_GB2312" w:cs="仿宋_GB2312"/>
          <w:kern w:val="0"/>
          <w:sz w:val="32"/>
          <w:szCs w:val="32"/>
        </w:rPr>
        <w:t>绩效</w:t>
      </w:r>
      <w:r>
        <w:rPr>
          <w:rFonts w:hint="eastAsia" w:ascii="仿宋_GB2312" w:eastAsia="仿宋_GB2312" w:cs="仿宋_GB2312"/>
          <w:kern w:val="0"/>
          <w:sz w:val="32"/>
          <w:szCs w:val="32"/>
        </w:rPr>
        <w:t>目标</w:t>
      </w:r>
      <w:r>
        <w:rPr>
          <w:rFonts w:ascii="仿宋_GB2312" w:eastAsia="仿宋_GB2312" w:cs="仿宋_GB2312"/>
          <w:kern w:val="0"/>
          <w:sz w:val="32"/>
          <w:szCs w:val="32"/>
        </w:rPr>
        <w:t>。</w:t>
      </w:r>
    </w:p>
    <w:p>
      <w:pPr>
        <w:spacing w:line="560" w:lineRule="exact"/>
        <w:ind w:firstLine="640" w:firstLineChars="200"/>
        <w:rPr>
          <w:rFonts w:ascii="仿宋_GB2312" w:eastAsia="仿宋_GB2312" w:cs="仿宋_GB2312"/>
          <w:kern w:val="0"/>
          <w:sz w:val="32"/>
          <w:szCs w:val="32"/>
        </w:rPr>
      </w:pPr>
      <w:r>
        <w:rPr>
          <w:rFonts w:hint="eastAsia" w:ascii="仿宋_GB2312" w:hAnsi="仿宋_GB2312" w:eastAsia="仿宋_GB2312" w:cs="仿宋_GB2312"/>
          <w:sz w:val="32"/>
          <w:szCs w:val="32"/>
        </w:rPr>
        <w:t>③</w:t>
      </w:r>
      <w:r>
        <w:rPr>
          <w:rFonts w:hint="eastAsia" w:ascii="仿宋_GB2312" w:hAnsi="仿宋" w:eastAsia="仿宋_GB2312"/>
          <w:sz w:val="32"/>
          <w:szCs w:val="32"/>
        </w:rPr>
        <w:t>彩票销售场所数量</w:t>
      </w:r>
      <w:r>
        <w:rPr>
          <w:rFonts w:hint="eastAsia" w:ascii="仿宋_GB2312" w:hAnsi="仿宋_GB2312" w:eastAsia="仿宋_GB2312"/>
          <w:sz w:val="32"/>
          <w:szCs w:val="32"/>
        </w:rPr>
        <w:t>≥上年数量</w:t>
      </w:r>
      <w:r>
        <w:rPr>
          <w:rFonts w:hint="eastAsia" w:ascii="仿宋_GB2312" w:eastAsia="仿宋_GB2312" w:cs="仿宋_GB2312"/>
          <w:kern w:val="0"/>
          <w:sz w:val="32"/>
          <w:szCs w:val="32"/>
        </w:rPr>
        <w:t>80%</w:t>
      </w:r>
    </w:p>
    <w:p>
      <w:pPr>
        <w:spacing w:line="560" w:lineRule="exact"/>
        <w:ind w:firstLine="640" w:firstLineChars="200"/>
        <w:rPr>
          <w:rFonts w:ascii="仿宋_GB2312" w:eastAsia="仿宋_GB2312" w:cs="仿宋_GB2312"/>
          <w:kern w:val="0"/>
          <w:sz w:val="32"/>
          <w:szCs w:val="32"/>
        </w:rPr>
      </w:pPr>
      <w:r>
        <w:rPr>
          <w:rFonts w:hint="eastAsia" w:ascii="仿宋_GB2312" w:hAnsi="仿宋" w:eastAsia="仿宋_GB2312"/>
          <w:sz w:val="32"/>
          <w:szCs w:val="32"/>
        </w:rPr>
        <w:t>2022年末</w:t>
      </w:r>
      <w:r>
        <w:rPr>
          <w:rFonts w:ascii="仿宋_GB2312" w:hAnsi="仿宋" w:eastAsia="仿宋_GB2312"/>
          <w:sz w:val="32"/>
          <w:szCs w:val="32"/>
        </w:rPr>
        <w:t>全市</w:t>
      </w:r>
      <w:r>
        <w:rPr>
          <w:rFonts w:hint="eastAsia" w:ascii="仿宋_GB2312" w:hAnsi="仿宋" w:eastAsia="仿宋_GB2312"/>
          <w:sz w:val="32"/>
          <w:szCs w:val="32"/>
        </w:rPr>
        <w:t>销售网点数为2896个</w:t>
      </w:r>
      <w:r>
        <w:rPr>
          <w:rFonts w:ascii="仿宋_GB2312" w:hAnsi="仿宋" w:eastAsia="仿宋_GB2312"/>
          <w:sz w:val="32"/>
          <w:szCs w:val="32"/>
        </w:rPr>
        <w:t>，较</w:t>
      </w:r>
      <w:r>
        <w:rPr>
          <w:rFonts w:hint="eastAsia" w:ascii="仿宋_GB2312" w:hAnsi="仿宋" w:eastAsia="仿宋_GB2312"/>
          <w:sz w:val="32"/>
          <w:szCs w:val="32"/>
        </w:rPr>
        <w:t>2021年末销售网点</w:t>
      </w:r>
      <w:r>
        <w:rPr>
          <w:rFonts w:ascii="仿宋_GB2312" w:hAnsi="仿宋" w:eastAsia="仿宋_GB2312"/>
          <w:sz w:val="32"/>
          <w:szCs w:val="32"/>
        </w:rPr>
        <w:t>数</w:t>
      </w:r>
      <w:r>
        <w:rPr>
          <w:rFonts w:hint="eastAsia" w:ascii="仿宋_GB2312" w:hAnsi="仿宋" w:eastAsia="仿宋_GB2312"/>
          <w:sz w:val="32"/>
          <w:szCs w:val="32"/>
        </w:rPr>
        <w:t xml:space="preserve"> 2522个增加</w:t>
      </w:r>
      <w:r>
        <w:rPr>
          <w:rFonts w:ascii="仿宋_GB2312" w:hAnsi="仿宋" w:eastAsia="仿宋_GB2312"/>
          <w:sz w:val="32"/>
          <w:szCs w:val="32"/>
        </w:rPr>
        <w:t>374</w:t>
      </w:r>
      <w:r>
        <w:rPr>
          <w:rFonts w:hint="eastAsia" w:ascii="仿宋_GB2312" w:hAnsi="仿宋" w:eastAsia="仿宋_GB2312"/>
          <w:sz w:val="32"/>
          <w:szCs w:val="32"/>
        </w:rPr>
        <w:t>个，增幅</w:t>
      </w:r>
      <w:r>
        <w:rPr>
          <w:rFonts w:ascii="仿宋_GB2312" w:hAnsi="仿宋" w:eastAsia="仿宋_GB2312"/>
          <w:sz w:val="32"/>
          <w:szCs w:val="32"/>
        </w:rPr>
        <w:t>14.83</w:t>
      </w:r>
      <w:r>
        <w:rPr>
          <w:rFonts w:hint="eastAsia" w:ascii="仿宋_GB2312" w:hAnsi="仿宋" w:eastAsia="仿宋_GB2312"/>
          <w:sz w:val="32"/>
          <w:szCs w:val="32"/>
        </w:rPr>
        <w:t>%，彩票销售场所数量为上年数量的114.83%，完成彩票销售场所数量</w:t>
      </w:r>
      <w:r>
        <w:rPr>
          <w:rFonts w:hint="eastAsia" w:ascii="仿宋_GB2312" w:hAnsi="仿宋_GB2312" w:eastAsia="仿宋_GB2312"/>
          <w:sz w:val="32"/>
          <w:szCs w:val="32"/>
        </w:rPr>
        <w:t>≥上年数量</w:t>
      </w:r>
      <w:r>
        <w:rPr>
          <w:rFonts w:hint="eastAsia" w:ascii="仿宋_GB2312" w:eastAsia="仿宋_GB2312" w:cs="仿宋_GB2312"/>
          <w:kern w:val="0"/>
          <w:sz w:val="32"/>
          <w:szCs w:val="32"/>
        </w:rPr>
        <w:t>80%的年度绩效目标</w:t>
      </w:r>
      <w:r>
        <w:rPr>
          <w:rFonts w:hint="eastAsia" w:ascii="仿宋_GB2312" w:hAnsi="仿宋" w:eastAsia="仿宋_GB2312"/>
          <w:sz w:val="32"/>
          <w:szCs w:val="32"/>
        </w:rPr>
        <w:t>。</w:t>
      </w:r>
    </w:p>
    <w:p>
      <w:pPr>
        <w:spacing w:line="560" w:lineRule="exact"/>
        <w:ind w:firstLine="640" w:firstLineChars="200"/>
        <w:jc w:val="left"/>
        <w:rPr>
          <w:rFonts w:ascii="仿宋_GB2312" w:hAnsi="仿宋_GB2312" w:eastAsia="仿宋_GB2312"/>
          <w:sz w:val="32"/>
          <w:szCs w:val="32"/>
        </w:rPr>
      </w:pPr>
      <w:r>
        <w:rPr>
          <w:rFonts w:hint="eastAsia" w:ascii="仿宋_GB2312" w:hAnsi="仿宋_GB2312" w:eastAsia="仿宋_GB2312" w:cs="仿宋_GB2312"/>
          <w:sz w:val="32"/>
          <w:szCs w:val="32"/>
        </w:rPr>
        <w:t>④</w:t>
      </w:r>
      <w:r>
        <w:rPr>
          <w:rFonts w:hint="eastAsia" w:ascii="仿宋_GB2312" w:hAnsi="仿宋_GB2312" w:eastAsia="仿宋_GB2312"/>
          <w:sz w:val="32"/>
          <w:szCs w:val="32"/>
        </w:rPr>
        <w:t>彩票票种数量</w:t>
      </w:r>
      <w:r>
        <w:rPr>
          <w:rFonts w:hint="eastAsia" w:ascii="仿宋_GB2312" w:hAnsi="仿宋" w:eastAsia="仿宋_GB2312"/>
          <w:sz w:val="32"/>
          <w:szCs w:val="32"/>
        </w:rPr>
        <w:t>[</w:t>
      </w:r>
      <w:r>
        <w:rPr>
          <w:rFonts w:ascii="仿宋_GB2312" w:hAnsi="仿宋" w:eastAsia="仿宋_GB2312"/>
          <w:sz w:val="32"/>
          <w:szCs w:val="32"/>
        </w:rPr>
        <w:t>4</w:t>
      </w:r>
      <w:r>
        <w:rPr>
          <w:rFonts w:hint="eastAsia" w:ascii="仿宋_GB2312" w:hAnsi="仿宋" w:eastAsia="仿宋_GB2312"/>
          <w:sz w:val="32"/>
          <w:szCs w:val="32"/>
        </w:rPr>
        <w:t>，5</w:t>
      </w:r>
      <w:r>
        <w:rPr>
          <w:rFonts w:ascii="仿宋_GB2312" w:hAnsi="仿宋" w:eastAsia="仿宋_GB2312"/>
          <w:sz w:val="32"/>
          <w:szCs w:val="32"/>
        </w:rPr>
        <w:t>]</w:t>
      </w:r>
    </w:p>
    <w:p>
      <w:pPr>
        <w:spacing w:line="560" w:lineRule="exact"/>
        <w:ind w:firstLine="640" w:firstLineChars="200"/>
        <w:jc w:val="left"/>
        <w:rPr>
          <w:rFonts w:ascii="仿宋_GB2312" w:hAnsi="仿宋_GB2312" w:eastAsia="仿宋_GB2312"/>
          <w:sz w:val="32"/>
          <w:szCs w:val="32"/>
        </w:rPr>
      </w:pPr>
      <w:r>
        <w:rPr>
          <w:rFonts w:hint="eastAsia" w:ascii="仿宋_GB2312" w:eastAsia="仿宋_GB2312" w:cs="仿宋_GB2312"/>
          <w:sz w:val="32"/>
          <w:szCs w:val="32"/>
        </w:rPr>
        <w:t>2022年北京市销售福利彩票品种包括即开型</w:t>
      </w:r>
      <w:r>
        <w:rPr>
          <w:rFonts w:ascii="仿宋_GB2312" w:eastAsia="仿宋_GB2312" w:cs="仿宋_GB2312"/>
          <w:sz w:val="32"/>
          <w:szCs w:val="32"/>
        </w:rPr>
        <w:t>、乐透型、数字型和基诺型</w:t>
      </w:r>
      <w:r>
        <w:rPr>
          <w:rFonts w:hint="eastAsia" w:ascii="仿宋_GB2312" w:eastAsia="仿宋_GB2312" w:cs="仿宋_GB2312"/>
          <w:sz w:val="32"/>
          <w:szCs w:val="32"/>
        </w:rPr>
        <w:t>4种</w:t>
      </w:r>
      <w:r>
        <w:rPr>
          <w:rFonts w:ascii="仿宋_GB2312" w:eastAsia="仿宋_GB2312" w:cs="仿宋_GB2312"/>
          <w:sz w:val="32"/>
          <w:szCs w:val="32"/>
        </w:rPr>
        <w:t>，完成</w:t>
      </w:r>
      <w:r>
        <w:rPr>
          <w:rFonts w:hint="eastAsia" w:ascii="仿宋_GB2312" w:hAnsi="仿宋_GB2312" w:eastAsia="仿宋_GB2312"/>
          <w:sz w:val="32"/>
          <w:szCs w:val="32"/>
        </w:rPr>
        <w:t>彩票票种数量</w:t>
      </w:r>
      <w:r>
        <w:rPr>
          <w:rFonts w:hint="eastAsia" w:ascii="仿宋_GB2312" w:hAnsi="仿宋" w:eastAsia="仿宋_GB2312"/>
          <w:sz w:val="32"/>
          <w:szCs w:val="32"/>
        </w:rPr>
        <w:t>[</w:t>
      </w:r>
      <w:r>
        <w:rPr>
          <w:rFonts w:ascii="仿宋_GB2312" w:hAnsi="仿宋" w:eastAsia="仿宋_GB2312"/>
          <w:sz w:val="32"/>
          <w:szCs w:val="32"/>
        </w:rPr>
        <w:t>4</w:t>
      </w: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的</w:t>
      </w:r>
      <w:r>
        <w:rPr>
          <w:rFonts w:ascii="仿宋_GB2312" w:hAnsi="仿宋" w:eastAsia="仿宋_GB2312"/>
          <w:sz w:val="32"/>
          <w:szCs w:val="32"/>
        </w:rPr>
        <w:t>年度绩效目标</w:t>
      </w:r>
      <w:r>
        <w:rPr>
          <w:rFonts w:hint="eastAsia" w:ascii="仿宋_GB2312" w:eastAsia="仿宋_GB2312" w:cs="仿宋_GB2312"/>
          <w:sz w:val="32"/>
          <w:szCs w:val="32"/>
        </w:rPr>
        <w:t>。</w:t>
      </w:r>
    </w:p>
    <w:p>
      <w:pPr>
        <w:spacing w:line="560" w:lineRule="exact"/>
        <w:ind w:firstLine="640" w:firstLineChars="200"/>
        <w:jc w:val="left"/>
        <w:rPr>
          <w:rFonts w:ascii="仿宋_GB2312" w:hAnsi="仿宋_GB2312" w:eastAsia="仿宋_GB2312"/>
          <w:sz w:val="32"/>
          <w:szCs w:val="32"/>
        </w:rPr>
      </w:pPr>
      <w:r>
        <w:rPr>
          <w:rFonts w:hint="eastAsia" w:ascii="仿宋_GB2312" w:hAnsi="黑体" w:eastAsia="仿宋_GB2312"/>
          <w:sz w:val="32"/>
          <w:szCs w:val="32"/>
        </w:rPr>
        <w:t>（</w:t>
      </w:r>
      <w:r>
        <w:rPr>
          <w:rFonts w:ascii="仿宋_GB2312" w:hAnsi="黑体" w:eastAsia="仿宋_GB2312"/>
          <w:sz w:val="32"/>
          <w:szCs w:val="32"/>
        </w:rPr>
        <w:t>2</w:t>
      </w:r>
      <w:r>
        <w:rPr>
          <w:rFonts w:hint="eastAsia" w:ascii="仿宋_GB2312" w:hAnsi="黑体" w:eastAsia="仿宋_GB2312"/>
          <w:sz w:val="32"/>
          <w:szCs w:val="32"/>
        </w:rPr>
        <w:t>）</w:t>
      </w:r>
      <w:r>
        <w:rPr>
          <w:rFonts w:hint="eastAsia" w:ascii="仿宋_GB2312" w:hAnsi="仿宋_GB2312" w:eastAsia="仿宋_GB2312"/>
          <w:sz w:val="32"/>
          <w:szCs w:val="32"/>
        </w:rPr>
        <w:t>质量指标</w:t>
      </w:r>
    </w:p>
    <w:p>
      <w:pPr>
        <w:spacing w:line="560" w:lineRule="exact"/>
        <w:ind w:firstLine="640" w:firstLineChars="200"/>
        <w:jc w:val="left"/>
        <w:rPr>
          <w:rFonts w:ascii="仿宋_GB2312" w:eastAsia="仿宋_GB2312" w:cs="仿宋_GB2312"/>
          <w:sz w:val="32"/>
          <w:szCs w:val="32"/>
        </w:rPr>
      </w:pPr>
      <w:r>
        <w:rPr>
          <w:rFonts w:hint="eastAsia" w:ascii="仿宋_GB2312" w:hAnsi="仿宋_GB2312" w:eastAsia="仿宋_GB2312" w:cs="仿宋_GB2312"/>
          <w:sz w:val="32"/>
          <w:szCs w:val="32"/>
        </w:rPr>
        <w:t>①</w:t>
      </w:r>
      <w:r>
        <w:rPr>
          <w:rFonts w:hint="eastAsia" w:ascii="仿宋_GB2312" w:hAnsi="仿宋_GB2312" w:eastAsia="仿宋_GB2312"/>
          <w:sz w:val="32"/>
          <w:szCs w:val="32"/>
        </w:rPr>
        <w:t>延时开奖等彩票销售安全事故发生率</w:t>
      </w:r>
      <w:r>
        <w:rPr>
          <w:rFonts w:hint="eastAsia" w:ascii="仿宋_GB2312" w:eastAsia="仿宋_GB2312" w:cs="仿宋_GB2312"/>
          <w:sz w:val="32"/>
          <w:szCs w:val="32"/>
        </w:rPr>
        <w:t>≤0.1%</w:t>
      </w:r>
    </w:p>
    <w:p>
      <w:pPr>
        <w:spacing w:line="560" w:lineRule="exact"/>
        <w:ind w:firstLine="640" w:firstLineChars="200"/>
        <w:jc w:val="left"/>
        <w:rPr>
          <w:rFonts w:ascii="仿宋_GB2312" w:eastAsia="仿宋_GB2312" w:cs="仿宋_GB2312"/>
          <w:sz w:val="32"/>
          <w:szCs w:val="32"/>
        </w:rPr>
      </w:pPr>
      <w:r>
        <w:rPr>
          <w:rFonts w:hint="eastAsia" w:ascii="仿宋_GB2312" w:hAnsi="仿宋_GB2312" w:eastAsia="仿宋_GB2312"/>
          <w:sz w:val="32"/>
          <w:szCs w:val="32"/>
        </w:rPr>
        <w:t>市福彩中心</w:t>
      </w:r>
      <w:r>
        <w:rPr>
          <w:rFonts w:hint="eastAsia" w:ascii="仿宋_GB2312" w:eastAsia="仿宋_GB2312" w:cs="仿宋_GB2312"/>
          <w:sz w:val="32"/>
          <w:szCs w:val="32"/>
        </w:rPr>
        <w:t>2022年</w:t>
      </w:r>
      <w:r>
        <w:rPr>
          <w:rFonts w:hint="eastAsia" w:ascii="仿宋_GB2312" w:hAnsi="仿宋_GB2312" w:eastAsia="仿宋_GB2312"/>
          <w:sz w:val="32"/>
          <w:szCs w:val="32"/>
        </w:rPr>
        <w:t>全年</w:t>
      </w:r>
      <w:r>
        <w:rPr>
          <w:rFonts w:ascii="仿宋_GB2312" w:hAnsi="仿宋_GB2312" w:eastAsia="仿宋_GB2312"/>
          <w:sz w:val="32"/>
          <w:szCs w:val="32"/>
        </w:rPr>
        <w:t>未发生</w:t>
      </w:r>
      <w:r>
        <w:rPr>
          <w:rFonts w:hint="eastAsia" w:ascii="仿宋_GB2312" w:hAnsi="仿宋_GB2312" w:eastAsia="仿宋_GB2312"/>
          <w:sz w:val="32"/>
          <w:szCs w:val="32"/>
        </w:rPr>
        <w:t>延时开奖等彩票销售安全事故，延时开奖等彩票销售安全事故发生率为</w:t>
      </w:r>
      <w:r>
        <w:rPr>
          <w:rFonts w:hint="eastAsia" w:ascii="仿宋_GB2312" w:eastAsia="仿宋_GB2312" w:cs="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完成</w:t>
      </w:r>
      <w:r>
        <w:rPr>
          <w:rFonts w:hint="eastAsia" w:ascii="仿宋_GB2312" w:hAnsi="仿宋_GB2312" w:eastAsia="仿宋_GB2312"/>
          <w:sz w:val="32"/>
          <w:szCs w:val="32"/>
        </w:rPr>
        <w:t>延时开奖等彩票销售安全事故发生率</w:t>
      </w:r>
      <w:r>
        <w:rPr>
          <w:rFonts w:hint="eastAsia" w:ascii="仿宋_GB2312" w:eastAsia="仿宋_GB2312" w:cs="仿宋_GB2312"/>
          <w:sz w:val="32"/>
          <w:szCs w:val="32"/>
        </w:rPr>
        <w:t>≤0.1%的年度</w:t>
      </w:r>
      <w:r>
        <w:rPr>
          <w:rFonts w:ascii="仿宋_GB2312" w:eastAsia="仿宋_GB2312" w:cs="仿宋_GB2312"/>
          <w:sz w:val="32"/>
          <w:szCs w:val="32"/>
        </w:rPr>
        <w:t>绩效</w:t>
      </w:r>
      <w:r>
        <w:rPr>
          <w:rFonts w:hint="eastAsia" w:ascii="仿宋_GB2312" w:eastAsia="仿宋_GB2312" w:cs="仿宋_GB2312"/>
          <w:sz w:val="32"/>
          <w:szCs w:val="32"/>
        </w:rPr>
        <w:t>目标。</w:t>
      </w:r>
    </w:p>
    <w:p>
      <w:pPr>
        <w:tabs>
          <w:tab w:val="center" w:pos="4686"/>
        </w:tabs>
        <w:spacing w:line="560" w:lineRule="exact"/>
        <w:ind w:firstLine="640" w:firstLineChars="200"/>
        <w:jc w:val="left"/>
        <w:rPr>
          <w:rFonts w:ascii="仿宋_GB2312" w:hAnsi="仿宋" w:eastAsia="仿宋_GB2312"/>
          <w:sz w:val="32"/>
          <w:szCs w:val="32"/>
        </w:rPr>
      </w:pPr>
      <w:r>
        <w:rPr>
          <w:rFonts w:hint="eastAsia" w:ascii="仿宋_GB2312" w:hAnsi="黑体" w:eastAsia="仿宋_GB2312"/>
          <w:sz w:val="32"/>
          <w:szCs w:val="32"/>
        </w:rPr>
        <w:t>②</w:t>
      </w:r>
      <w:r>
        <w:rPr>
          <w:rFonts w:hint="eastAsia" w:ascii="仿宋_GB2312" w:hAnsi="仿宋" w:eastAsia="仿宋_GB2312"/>
          <w:sz w:val="32"/>
          <w:szCs w:val="32"/>
        </w:rPr>
        <w:t>项目按期完成率≥90%</w:t>
      </w:r>
      <w:r>
        <w:rPr>
          <w:rFonts w:ascii="仿宋_GB2312" w:hAnsi="仿宋" w:eastAsia="仿宋_GB2312"/>
          <w:sz w:val="32"/>
          <w:szCs w:val="32"/>
        </w:rPr>
        <w:tab/>
      </w:r>
    </w:p>
    <w:p>
      <w:pPr>
        <w:tabs>
          <w:tab w:val="center" w:pos="4686"/>
        </w:tabs>
        <w:spacing w:line="560" w:lineRule="exact"/>
        <w:ind w:firstLine="643" w:firstLineChars="200"/>
        <w:jc w:val="left"/>
        <w:rPr>
          <w:rFonts w:ascii="仿宋_GB2312" w:hAnsi="仿宋" w:eastAsia="仿宋_GB2312"/>
          <w:b/>
          <w:sz w:val="32"/>
          <w:szCs w:val="32"/>
        </w:rPr>
      </w:pPr>
      <w:r>
        <w:rPr>
          <w:rFonts w:hint="eastAsia" w:ascii="仿宋_GB2312" w:hAnsi="仿宋_GB2312" w:eastAsia="仿宋_GB2312"/>
          <w:b/>
          <w:sz w:val="32"/>
          <w:szCs w:val="32"/>
        </w:rPr>
        <w:t>北京市福利彩票销售终端（专用设备）购置项目</w:t>
      </w:r>
      <w:r>
        <w:rPr>
          <w:rFonts w:hint="eastAsia" w:ascii="仿宋_GB2312" w:hAnsi="仿宋" w:eastAsia="仿宋_GB2312"/>
          <w:b/>
          <w:sz w:val="32"/>
          <w:szCs w:val="32"/>
        </w:rPr>
        <w:t>：</w:t>
      </w:r>
    </w:p>
    <w:p>
      <w:pPr>
        <w:tabs>
          <w:tab w:val="center" w:pos="4686"/>
        </w:tabs>
        <w:spacing w:line="560" w:lineRule="exact"/>
        <w:ind w:firstLine="640" w:firstLineChars="200"/>
        <w:jc w:val="left"/>
        <w:rPr>
          <w:rFonts w:ascii="仿宋_GB2312" w:hAnsi="仿宋" w:eastAsia="仿宋_GB2312"/>
          <w:b/>
          <w:sz w:val="32"/>
          <w:szCs w:val="32"/>
        </w:rPr>
      </w:pPr>
      <w:r>
        <w:rPr>
          <w:rFonts w:hint="eastAsia" w:ascii="仿宋_GB2312" w:hAnsi="仿宋_GB2312" w:eastAsia="仿宋_GB2312"/>
          <w:sz w:val="32"/>
          <w:szCs w:val="32"/>
        </w:rPr>
        <w:t>市福彩中心签订的《北京福彩销售终端（专用设备）购置项目采购合同》，向穗彩公司采购福彩销售专用设备</w:t>
      </w:r>
      <w:r>
        <w:rPr>
          <w:rFonts w:ascii="仿宋_GB2312" w:hAnsi="黑体" w:eastAsia="仿宋_GB2312"/>
          <w:sz w:val="32"/>
          <w:szCs w:val="32"/>
        </w:rPr>
        <w:t>3100</w:t>
      </w:r>
      <w:r>
        <w:rPr>
          <w:rFonts w:hint="eastAsia" w:ascii="仿宋_GB2312" w:hAnsi="仿宋_GB2312" w:eastAsia="仿宋_GB2312"/>
          <w:sz w:val="32"/>
          <w:szCs w:val="32"/>
        </w:rPr>
        <w:t>套、租赁彩票销售系统</w:t>
      </w:r>
      <w:r>
        <w:rPr>
          <w:rFonts w:ascii="仿宋_GB2312" w:hAnsi="黑体" w:eastAsia="仿宋_GB2312"/>
          <w:sz w:val="32"/>
          <w:szCs w:val="32"/>
        </w:rPr>
        <w:t>1</w:t>
      </w:r>
      <w:r>
        <w:rPr>
          <w:rFonts w:hint="eastAsia" w:ascii="仿宋_GB2312" w:hAnsi="黑体" w:eastAsia="仿宋_GB2312"/>
          <w:sz w:val="32"/>
          <w:szCs w:val="32"/>
        </w:rPr>
        <w:t>套、购买相关技术服务</w:t>
      </w:r>
      <w:r>
        <w:rPr>
          <w:rFonts w:ascii="仿宋_GB2312" w:hAnsi="黑体" w:eastAsia="仿宋_GB2312"/>
          <w:sz w:val="32"/>
          <w:szCs w:val="32"/>
        </w:rPr>
        <w:t>1</w:t>
      </w:r>
      <w:r>
        <w:rPr>
          <w:rFonts w:hint="eastAsia" w:ascii="仿宋_GB2312" w:hAnsi="黑体" w:eastAsia="仿宋_GB2312"/>
          <w:sz w:val="32"/>
          <w:szCs w:val="32"/>
        </w:rPr>
        <w:t>套，由穗彩公司提供配套销售系统（含辅助系统）的相关售后服务，服务期共计三年，自</w:t>
      </w:r>
      <w:r>
        <w:rPr>
          <w:rFonts w:ascii="仿宋_GB2312" w:hAnsi="黑体" w:eastAsia="仿宋_GB2312"/>
          <w:sz w:val="32"/>
          <w:szCs w:val="32"/>
        </w:rPr>
        <w:t>2021</w:t>
      </w:r>
      <w:r>
        <w:rPr>
          <w:rFonts w:hint="eastAsia" w:ascii="仿宋_GB2312" w:hAnsi="黑体" w:eastAsia="仿宋_GB2312"/>
          <w:sz w:val="32"/>
          <w:szCs w:val="32"/>
        </w:rPr>
        <w:t>年</w:t>
      </w:r>
      <w:r>
        <w:rPr>
          <w:rFonts w:ascii="仿宋_GB2312" w:hAnsi="黑体" w:eastAsia="仿宋_GB2312"/>
          <w:sz w:val="32"/>
          <w:szCs w:val="32"/>
        </w:rPr>
        <w:t>1</w:t>
      </w:r>
      <w:r>
        <w:rPr>
          <w:rFonts w:hint="eastAsia" w:ascii="仿宋_GB2312" w:hAnsi="黑体" w:eastAsia="仿宋_GB2312"/>
          <w:sz w:val="32"/>
          <w:szCs w:val="32"/>
        </w:rPr>
        <w:t>月</w:t>
      </w:r>
      <w:r>
        <w:rPr>
          <w:rFonts w:ascii="仿宋_GB2312" w:hAnsi="黑体" w:eastAsia="仿宋_GB2312"/>
          <w:sz w:val="32"/>
          <w:szCs w:val="32"/>
        </w:rPr>
        <w:t>1</w:t>
      </w:r>
      <w:r>
        <w:rPr>
          <w:rFonts w:hint="eastAsia" w:ascii="仿宋_GB2312" w:hAnsi="黑体" w:eastAsia="仿宋_GB2312"/>
          <w:sz w:val="32"/>
          <w:szCs w:val="32"/>
        </w:rPr>
        <w:t>日起至</w:t>
      </w:r>
      <w:r>
        <w:rPr>
          <w:rFonts w:ascii="仿宋_GB2312" w:hAnsi="黑体" w:eastAsia="仿宋_GB2312"/>
          <w:sz w:val="32"/>
          <w:szCs w:val="32"/>
        </w:rPr>
        <w:t>2023</w:t>
      </w:r>
      <w:r>
        <w:rPr>
          <w:rFonts w:hint="eastAsia" w:ascii="仿宋_GB2312" w:hAnsi="黑体" w:eastAsia="仿宋_GB2312"/>
          <w:sz w:val="32"/>
          <w:szCs w:val="32"/>
        </w:rPr>
        <w:t>年</w:t>
      </w:r>
      <w:r>
        <w:rPr>
          <w:rFonts w:ascii="仿宋_GB2312" w:hAnsi="黑体" w:eastAsia="仿宋_GB2312"/>
          <w:sz w:val="32"/>
          <w:szCs w:val="32"/>
        </w:rPr>
        <w:t>12</w:t>
      </w:r>
      <w:r>
        <w:rPr>
          <w:rFonts w:hint="eastAsia" w:ascii="仿宋_GB2312" w:hAnsi="黑体" w:eastAsia="仿宋_GB2312"/>
          <w:sz w:val="32"/>
          <w:szCs w:val="32"/>
        </w:rPr>
        <w:t>月</w:t>
      </w:r>
      <w:r>
        <w:rPr>
          <w:rFonts w:ascii="仿宋_GB2312" w:hAnsi="黑体" w:eastAsia="仿宋_GB2312"/>
          <w:sz w:val="32"/>
          <w:szCs w:val="32"/>
        </w:rPr>
        <w:t>31</w:t>
      </w:r>
      <w:r>
        <w:rPr>
          <w:rFonts w:hint="eastAsia" w:ascii="仿宋_GB2312" w:hAnsi="黑体" w:eastAsia="仿宋_GB2312"/>
          <w:sz w:val="32"/>
          <w:szCs w:val="32"/>
        </w:rPr>
        <w:t>日止。</w:t>
      </w:r>
      <w:r>
        <w:rPr>
          <w:rFonts w:ascii="仿宋_GB2312" w:hAnsi="黑体" w:eastAsia="仿宋_GB2312"/>
          <w:sz w:val="32"/>
          <w:szCs w:val="32"/>
        </w:rPr>
        <w:t>截止2022年12</w:t>
      </w:r>
      <w:r>
        <w:rPr>
          <w:rFonts w:hint="eastAsia" w:ascii="仿宋_GB2312" w:hAnsi="黑体" w:eastAsia="仿宋_GB2312"/>
          <w:sz w:val="32"/>
          <w:szCs w:val="32"/>
        </w:rPr>
        <w:t>月</w:t>
      </w:r>
      <w:r>
        <w:rPr>
          <w:rFonts w:ascii="仿宋_GB2312" w:hAnsi="黑体" w:eastAsia="仿宋_GB2312"/>
          <w:sz w:val="32"/>
          <w:szCs w:val="32"/>
        </w:rPr>
        <w:t>31</w:t>
      </w:r>
      <w:r>
        <w:rPr>
          <w:rFonts w:hint="eastAsia" w:ascii="仿宋_GB2312" w:hAnsi="黑体" w:eastAsia="仿宋_GB2312"/>
          <w:sz w:val="32"/>
          <w:szCs w:val="32"/>
        </w:rPr>
        <w:t>日，购买的</w:t>
      </w:r>
      <w:r>
        <w:rPr>
          <w:rFonts w:ascii="仿宋_GB2312" w:hAnsi="黑体" w:eastAsia="仿宋_GB2312"/>
          <w:sz w:val="32"/>
          <w:szCs w:val="32"/>
        </w:rPr>
        <w:t>销售终端</w:t>
      </w:r>
      <w:r>
        <w:rPr>
          <w:rFonts w:hint="eastAsia" w:ascii="仿宋_GB2312" w:hAnsi="黑体" w:eastAsia="仿宋_GB2312"/>
          <w:sz w:val="32"/>
          <w:szCs w:val="32"/>
        </w:rPr>
        <w:t>设备</w:t>
      </w:r>
      <w:r>
        <w:rPr>
          <w:rFonts w:ascii="仿宋_GB2312" w:hAnsi="黑体" w:eastAsia="仿宋_GB2312"/>
          <w:sz w:val="32"/>
          <w:szCs w:val="32"/>
        </w:rPr>
        <w:t>3100</w:t>
      </w:r>
      <w:r>
        <w:rPr>
          <w:rFonts w:hint="eastAsia" w:ascii="仿宋_GB2312" w:hAnsi="黑体" w:eastAsia="仿宋_GB2312"/>
          <w:sz w:val="32"/>
          <w:szCs w:val="32"/>
        </w:rPr>
        <w:t>台</w:t>
      </w:r>
      <w:r>
        <w:rPr>
          <w:rFonts w:ascii="仿宋_GB2312" w:hAnsi="黑体" w:eastAsia="仿宋_GB2312"/>
          <w:sz w:val="32"/>
          <w:szCs w:val="32"/>
        </w:rPr>
        <w:t>全部到位</w:t>
      </w:r>
      <w:r>
        <w:rPr>
          <w:rFonts w:hint="eastAsia" w:ascii="仿宋_GB2312" w:hAnsi="黑体" w:eastAsia="仿宋_GB2312"/>
          <w:sz w:val="32"/>
          <w:szCs w:val="32"/>
        </w:rPr>
        <w:t>，</w:t>
      </w:r>
      <w:r>
        <w:rPr>
          <w:rFonts w:ascii="仿宋_GB2312" w:hAnsi="黑体" w:eastAsia="仿宋_GB2312"/>
          <w:sz w:val="32"/>
          <w:szCs w:val="32"/>
        </w:rPr>
        <w:t>满足现有网点及新增网点的建设需求</w:t>
      </w:r>
      <w:r>
        <w:rPr>
          <w:rFonts w:hint="eastAsia" w:ascii="仿宋_GB2312" w:hAnsi="黑体" w:eastAsia="仿宋_GB2312"/>
          <w:sz w:val="32"/>
          <w:szCs w:val="32"/>
        </w:rPr>
        <w:t>，</w:t>
      </w:r>
      <w:r>
        <w:rPr>
          <w:rFonts w:hint="eastAsia" w:ascii="仿宋_GB2312" w:hAnsi="仿宋" w:eastAsia="仿宋_GB2312"/>
          <w:sz w:val="32"/>
          <w:szCs w:val="32"/>
        </w:rPr>
        <w:t>项目按期完成率100%，</w:t>
      </w:r>
      <w:r>
        <w:rPr>
          <w:rFonts w:hint="eastAsia" w:ascii="仿宋_GB2312" w:hAnsi="黑体" w:eastAsia="仿宋_GB2312"/>
          <w:sz w:val="32"/>
          <w:szCs w:val="32"/>
        </w:rPr>
        <w:t>完成年度绩效目标。</w:t>
      </w:r>
    </w:p>
    <w:p>
      <w:pPr>
        <w:spacing w:line="5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北京福彩公益及游戏宣传项目-公交车身户外媒体宣传项目：</w:t>
      </w:r>
    </w:p>
    <w:p>
      <w:pPr>
        <w:tabs>
          <w:tab w:val="center" w:pos="4686"/>
        </w:tabs>
        <w:spacing w:line="560" w:lineRule="exact"/>
        <w:ind w:firstLine="640" w:firstLineChars="200"/>
        <w:jc w:val="left"/>
        <w:rPr>
          <w:rFonts w:ascii="仿宋_GB2312" w:hAnsi="仿宋" w:eastAsia="仿宋_GB2312"/>
          <w:b/>
          <w:sz w:val="32"/>
          <w:szCs w:val="32"/>
        </w:rPr>
      </w:pPr>
      <w:r>
        <w:rPr>
          <w:rFonts w:hint="eastAsia" w:ascii="仿宋_GB2312" w:hAnsi="仿宋" w:eastAsia="仿宋_GB2312"/>
          <w:sz w:val="32"/>
          <w:szCs w:val="32"/>
        </w:rPr>
        <w:t>年度指标值完成时间符合时效要求不低于90%，实际</w:t>
      </w:r>
      <w:r>
        <w:rPr>
          <w:rFonts w:hint="eastAsia" w:ascii="仿宋_GB2312" w:hAnsi="黑体" w:eastAsia="仿宋_GB2312"/>
          <w:sz w:val="32"/>
          <w:szCs w:val="32"/>
        </w:rPr>
        <w:t>在指定双层公交车全车彩贴发布福彩广告，周期为5个月；在指定单层公交，条幅式发布福彩广告，周期为4个月；从广告内容确认上刊起至发布期满结束。上刊时间及完成时间均符合时效要求，</w:t>
      </w:r>
      <w:r>
        <w:rPr>
          <w:rFonts w:hint="eastAsia" w:ascii="仿宋_GB2312" w:hAnsi="仿宋" w:eastAsia="仿宋_GB2312"/>
          <w:sz w:val="32"/>
          <w:szCs w:val="32"/>
        </w:rPr>
        <w:t>项目按期完成率100%</w:t>
      </w:r>
      <w:r>
        <w:rPr>
          <w:rFonts w:hint="eastAsia" w:ascii="仿宋_GB2312" w:hAnsi="黑体" w:eastAsia="仿宋_GB2312"/>
          <w:sz w:val="32"/>
          <w:szCs w:val="32"/>
        </w:rPr>
        <w:t>，完成年度绩效目标。</w:t>
      </w:r>
    </w:p>
    <w:p>
      <w:pPr>
        <w:spacing w:line="560" w:lineRule="exact"/>
        <w:ind w:firstLine="643" w:firstLineChars="200"/>
        <w:jc w:val="left"/>
        <w:rPr>
          <w:rFonts w:ascii="仿宋_GB2312" w:hAnsi="仿宋" w:eastAsia="仿宋_GB2312"/>
          <w:b/>
          <w:sz w:val="32"/>
          <w:szCs w:val="32"/>
        </w:rPr>
      </w:pPr>
      <w:r>
        <w:rPr>
          <w:rFonts w:hint="eastAsia" w:ascii="仿宋_GB2312" w:hAnsi="仿宋" w:eastAsia="仿宋_GB2312"/>
          <w:b/>
          <w:sz w:val="32"/>
          <w:szCs w:val="32"/>
        </w:rPr>
        <w:t>北京福彩公益及游戏宣传项目-广播电台宣传项目：</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年度指标值完成时间符合时效要求不低于90%，实际按照工作计划，投放公益、营销广告，在年度内共计投放108天，涉及广播端FM103.9北京交通广播、FM94.5北京新闻广播两套频率日均到达5200千人，108天合作周期总覆盖561600千人次（含重复收听），媒体覆盖人群约5000万人次。播出时间及完成时间均符合时效要求，项目按期完成率100%，完成年度</w:t>
      </w:r>
      <w:r>
        <w:rPr>
          <w:rFonts w:hint="eastAsia" w:ascii="仿宋_GB2312" w:hAnsi="黑体" w:eastAsia="仿宋_GB2312"/>
          <w:sz w:val="32"/>
          <w:szCs w:val="32"/>
        </w:rPr>
        <w:t>绩效目标</w:t>
      </w:r>
      <w:r>
        <w:rPr>
          <w:rFonts w:hint="eastAsia" w:ascii="仿宋_GB2312" w:hAnsi="仿宋" w:eastAsia="仿宋_GB2312"/>
          <w:sz w:val="32"/>
          <w:szCs w:val="32"/>
        </w:rPr>
        <w:t>。</w:t>
      </w:r>
    </w:p>
    <w:p>
      <w:pPr>
        <w:spacing w:line="560" w:lineRule="exact"/>
        <w:ind w:firstLine="643" w:firstLineChars="200"/>
        <w:jc w:val="left"/>
        <w:rPr>
          <w:rFonts w:ascii="仿宋_GB2312" w:hAnsi="仿宋_GB2312" w:eastAsia="仿宋_GB2312"/>
          <w:b/>
          <w:sz w:val="32"/>
          <w:szCs w:val="32"/>
        </w:rPr>
      </w:pPr>
      <w:r>
        <w:rPr>
          <w:rFonts w:hint="eastAsia" w:ascii="仿宋_GB2312" w:hAnsi="仿宋_GB2312" w:eastAsia="仿宋_GB2312"/>
          <w:b/>
          <w:sz w:val="32"/>
          <w:szCs w:val="32"/>
        </w:rPr>
        <w:t>北京福彩公益及游戏宣传项目-走进社区系列公益项目：</w:t>
      </w:r>
    </w:p>
    <w:p>
      <w:pPr>
        <w:spacing w:line="560" w:lineRule="exact"/>
        <w:ind w:firstLine="640" w:firstLineChars="200"/>
        <w:jc w:val="left"/>
        <w:rPr>
          <w:rFonts w:ascii="仿宋_GB2312" w:hAnsi="仿宋_GB2312" w:eastAsia="仿宋_GB2312"/>
          <w:sz w:val="32"/>
          <w:szCs w:val="32"/>
        </w:rPr>
      </w:pPr>
      <w:r>
        <w:rPr>
          <w:rFonts w:hint="eastAsia" w:ascii="仿宋_GB2312" w:hAnsi="仿宋" w:eastAsia="仿宋_GB2312"/>
          <w:sz w:val="32"/>
          <w:szCs w:val="32"/>
        </w:rPr>
        <w:t>年度指标值完成时间符合时效要求不低于90%，实际按照合同约定，在规定时限内完成了50场走进社区系列公益活动，整个活动时长9个月，下线活动实际触达人数达到100万以上，参与活动整体人群以40-60岁中老年人为主，巩固了传统彩票爱好者的购买习惯，夯实了基层基础市场份额，为彩票市场安全平稳运营做出了贡献。线上部分活动覆盖人群达1000万人，微博、网站、广播、朋友圈、抖音等平台共计获得浏览量7000万，整体参与者以80后、90后群体为主，向更年轻的受众推广了福彩品牌，在年轻群体中增强了福彩影响力和知名度、美誉度，是强化品牌形象的又一次尝试和创新。完成指标均符合时效要求，项目按期完成率100%，完成年度</w:t>
      </w:r>
      <w:r>
        <w:rPr>
          <w:rFonts w:hint="eastAsia" w:ascii="仿宋_GB2312" w:hAnsi="黑体" w:eastAsia="仿宋_GB2312"/>
          <w:sz w:val="32"/>
          <w:szCs w:val="32"/>
        </w:rPr>
        <w:t>绩效目标</w:t>
      </w:r>
      <w:r>
        <w:rPr>
          <w:rFonts w:hint="eastAsia" w:ascii="仿宋_GB2312" w:hAnsi="仿宋" w:eastAsia="仿宋_GB2312"/>
          <w:sz w:val="32"/>
          <w:szCs w:val="32"/>
        </w:rPr>
        <w:t>。</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③</w:t>
      </w:r>
      <w:r>
        <w:rPr>
          <w:rFonts w:hint="eastAsia" w:ascii="仿宋_GB2312" w:hAnsi="仿宋" w:eastAsia="仿宋_GB2312"/>
          <w:sz w:val="32"/>
          <w:szCs w:val="32"/>
        </w:rPr>
        <w:t>项目验收合格率≥90%</w:t>
      </w:r>
    </w:p>
    <w:p>
      <w:pPr>
        <w:spacing w:line="560" w:lineRule="exact"/>
        <w:ind w:firstLine="643" w:firstLineChars="200"/>
        <w:jc w:val="left"/>
        <w:rPr>
          <w:rFonts w:ascii="仿宋_GB2312" w:hAnsi="仿宋" w:eastAsia="仿宋_GB2312"/>
          <w:b/>
          <w:sz w:val="32"/>
          <w:szCs w:val="32"/>
        </w:rPr>
      </w:pPr>
      <w:r>
        <w:rPr>
          <w:rFonts w:hint="eastAsia" w:ascii="仿宋_GB2312" w:hAnsi="仿宋" w:eastAsia="仿宋_GB2312"/>
          <w:b/>
          <w:sz w:val="32"/>
          <w:szCs w:val="32"/>
        </w:rPr>
        <w:t>北京市福利彩票销售终端（专用设备）购置项目：</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实际通过进行每批次终端设备采购进行开箱验收，共计验收</w:t>
      </w:r>
      <w:r>
        <w:rPr>
          <w:rFonts w:ascii="仿宋_GB2312" w:hAnsi="黑体" w:eastAsia="仿宋_GB2312"/>
          <w:sz w:val="32"/>
          <w:szCs w:val="32"/>
        </w:rPr>
        <w:t>3100</w:t>
      </w:r>
      <w:r>
        <w:rPr>
          <w:rFonts w:hint="eastAsia" w:ascii="仿宋_GB2312" w:hAnsi="黑体" w:eastAsia="仿宋_GB2312"/>
          <w:sz w:val="32"/>
          <w:szCs w:val="32"/>
        </w:rPr>
        <w:t>台终端设备，经包装外观、安装软件系统，现场拆卸终端机、检测硬件配置等测试验收抽检终端全部合格，符合质量指标要求，</w:t>
      </w:r>
      <w:r>
        <w:rPr>
          <w:rFonts w:ascii="仿宋_GB2312" w:hAnsi="仿宋_GB2312" w:eastAsia="仿宋_GB2312"/>
          <w:sz w:val="32"/>
          <w:szCs w:val="32"/>
        </w:rPr>
        <w:t>销售终端开箱验收合格率为</w:t>
      </w:r>
      <w:r>
        <w:rPr>
          <w:rFonts w:ascii="仿宋_GB2312" w:hAnsi="黑体" w:eastAsia="仿宋_GB2312"/>
          <w:sz w:val="32"/>
          <w:szCs w:val="32"/>
        </w:rPr>
        <w:t>100%</w:t>
      </w:r>
      <w:r>
        <w:rPr>
          <w:rFonts w:hint="eastAsia" w:ascii="仿宋_GB2312" w:hAnsi="黑体" w:eastAsia="仿宋_GB2312"/>
          <w:sz w:val="32"/>
          <w:szCs w:val="32"/>
        </w:rPr>
        <w:t>，，完成年度绩效目标。</w:t>
      </w:r>
    </w:p>
    <w:p>
      <w:pPr>
        <w:pStyle w:val="10"/>
        <w:spacing w:line="560" w:lineRule="exact"/>
        <w:ind w:firstLine="640" w:firstLineChars="0"/>
        <w:jc w:val="left"/>
        <w:rPr>
          <w:rFonts w:ascii="仿宋_GB2312" w:hAnsi="仿宋_GB2312" w:eastAsia="仿宋_GB2312"/>
          <w:sz w:val="32"/>
          <w:szCs w:val="32"/>
        </w:rPr>
      </w:pPr>
      <w:r>
        <w:rPr>
          <w:rFonts w:hint="eastAsia" w:ascii="仿宋_GB2312" w:hAnsi="黑体" w:eastAsia="仿宋_GB2312"/>
          <w:sz w:val="32"/>
          <w:szCs w:val="32"/>
        </w:rPr>
        <w:t>终端机设备维修维护服务包括一是负责保障销售设备正常工作，穗彩公司组建专业技术服务团队，负责销售设备的维修、配置等工作。全年完成终端设备日常维护巡检</w:t>
      </w:r>
      <w:r>
        <w:rPr>
          <w:rFonts w:ascii="仿宋_GB2312" w:hAnsi="黑体" w:eastAsia="仿宋_GB2312"/>
          <w:sz w:val="32"/>
          <w:szCs w:val="32"/>
        </w:rPr>
        <w:t>2603</w:t>
      </w:r>
      <w:r>
        <w:rPr>
          <w:rFonts w:hint="eastAsia" w:ascii="仿宋_GB2312" w:hAnsi="黑体" w:eastAsia="仿宋_GB2312"/>
          <w:sz w:val="32"/>
          <w:szCs w:val="32"/>
        </w:rPr>
        <w:t>台</w:t>
      </w:r>
      <w:r>
        <w:rPr>
          <w:rFonts w:hint="eastAsia" w:ascii="仿宋_GB2312" w:hAnsi="仿宋" w:eastAsia="仿宋_GB2312"/>
          <w:sz w:val="32"/>
          <w:szCs w:val="32"/>
        </w:rPr>
        <w:t>次、设备维修790台次、装机撤机638台次。二是派驻2名驻场工程师，提供现场技术支持（每周5x8小时）、系统维护、软件本地化及软件变更等服务。同时提供电话远程技术支持（每周7x24小时）在合同要求范围内的软件修改、升级、故障处理及定期巡检等技术支持，用以解决系统问题和满足市场发行及管理要求。三是结合网点管理、彩票游戏促销、报表统计、优化终端设备操作等方面的需求，2022年穗彩公司进行了销售系统更新升级42次、销售终端更新升级12次。每月定期进行系统巡检。为配合中心的防疫措施，完成14次区域网点停售、开售工作。</w:t>
      </w:r>
      <w:r>
        <w:rPr>
          <w:rFonts w:hint="eastAsia" w:ascii="仿宋_GB2312" w:hAnsi="黑体" w:eastAsia="仿宋_GB2312"/>
          <w:sz w:val="32"/>
          <w:szCs w:val="32"/>
        </w:rPr>
        <w:t>终端机设备维修维护服务完成率100%</w:t>
      </w:r>
      <w:r>
        <w:rPr>
          <w:rFonts w:hint="eastAsia" w:ascii="仿宋_GB2312" w:hAnsi="仿宋" w:eastAsia="仿宋_GB2312"/>
          <w:sz w:val="32"/>
          <w:szCs w:val="32"/>
        </w:rPr>
        <w:t>，</w:t>
      </w:r>
      <w:r>
        <w:rPr>
          <w:rFonts w:hint="eastAsia" w:ascii="仿宋_GB2312" w:hAnsi="仿宋_GB2312" w:eastAsia="仿宋_GB2312"/>
          <w:sz w:val="32"/>
          <w:szCs w:val="32"/>
        </w:rPr>
        <w:t>完成年度</w:t>
      </w:r>
      <w:r>
        <w:rPr>
          <w:rFonts w:hint="eastAsia" w:ascii="仿宋_GB2312" w:hAnsi="黑体" w:eastAsia="仿宋_GB2312"/>
          <w:sz w:val="32"/>
          <w:szCs w:val="32"/>
        </w:rPr>
        <w:t>绩效目标</w:t>
      </w:r>
      <w:r>
        <w:rPr>
          <w:rFonts w:hint="eastAsia" w:ascii="仿宋_GB2312" w:hAnsi="仿宋_GB2312" w:eastAsia="仿宋_GB2312"/>
          <w:sz w:val="32"/>
          <w:szCs w:val="32"/>
        </w:rPr>
        <w:t>。</w:t>
      </w:r>
    </w:p>
    <w:p>
      <w:pPr>
        <w:spacing w:line="560" w:lineRule="exact"/>
        <w:ind w:firstLine="643" w:firstLineChars="200"/>
        <w:jc w:val="left"/>
        <w:rPr>
          <w:rFonts w:ascii="仿宋_GB2312" w:hAnsi="仿宋" w:eastAsia="仿宋_GB2312"/>
          <w:b/>
          <w:sz w:val="32"/>
          <w:szCs w:val="32"/>
        </w:rPr>
      </w:pPr>
      <w:r>
        <w:rPr>
          <w:rFonts w:hint="eastAsia" w:ascii="仿宋_GB2312" w:hAnsi="仿宋" w:eastAsia="仿宋_GB2312"/>
          <w:b/>
          <w:sz w:val="32"/>
          <w:szCs w:val="32"/>
        </w:rPr>
        <w:t>北京福彩公益及游戏宣传项目-公交车身户外媒体宣传项目：</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经广告发布内容、版面、上刊次数、时长等指标审查全部合格。通过媒体发布，曝光总量达到200,237,411人次，月均到达职住人口3,147,301人。其中，月均到达工作人口2,233,803人、月均到达居住人口913,498人。媒体触达人群广、以白领人群居多。媒体接触机会多，品牌传播效果好。项目验收合格率100%，完成年度</w:t>
      </w:r>
      <w:r>
        <w:rPr>
          <w:rFonts w:hint="eastAsia" w:ascii="仿宋_GB2312" w:hAnsi="黑体" w:eastAsia="仿宋_GB2312"/>
          <w:sz w:val="32"/>
          <w:szCs w:val="32"/>
        </w:rPr>
        <w:t>绩效目标</w:t>
      </w:r>
      <w:r>
        <w:rPr>
          <w:rFonts w:hint="eastAsia" w:ascii="仿宋_GB2312" w:hAnsi="仿宋" w:eastAsia="仿宋_GB2312"/>
          <w:sz w:val="32"/>
          <w:szCs w:val="32"/>
        </w:rPr>
        <w:t>。</w:t>
      </w:r>
    </w:p>
    <w:p>
      <w:pPr>
        <w:spacing w:line="560" w:lineRule="exact"/>
        <w:ind w:firstLine="643" w:firstLineChars="200"/>
        <w:jc w:val="left"/>
        <w:rPr>
          <w:rFonts w:ascii="仿宋_GB2312" w:hAnsi="仿宋" w:eastAsia="仿宋_GB2312"/>
          <w:b/>
          <w:sz w:val="32"/>
          <w:szCs w:val="32"/>
        </w:rPr>
      </w:pPr>
      <w:r>
        <w:rPr>
          <w:rFonts w:hint="eastAsia" w:ascii="仿宋_GB2312" w:hAnsi="仿宋" w:eastAsia="仿宋_GB2312"/>
          <w:b/>
          <w:sz w:val="32"/>
          <w:szCs w:val="32"/>
        </w:rPr>
        <w:t>北京福彩公益及游戏宣传项目-广播电台宣传项目：</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通过实际审查播出的宣传片和播出的节目内容，质量符合国家及北京市的政策导向和宣传要求，同时符合市福彩中心发布内容要求。通过北京交通广播（FM103.9）一路畅通7:45、18:45点位播出2次15秒公益广告（游戏营销广告）共计216次；在北京新闻广播（FM94.5）偶数点套播10:15、12:15、14:10、16:15、20:15、22:10各点位播出，6次15秒公益广告（游戏营销广告），共648次，总播出864次15秒福彩公益广告，广告总时长达12960秒（216分钟）。所有广播频率日平均到达率3122.2千人，周平均到达率4032.1千人。车上收听日均听众规模达2001.8千人，周均听众规模达3191.5千人。全面覆盖北京市收听广播人群，从而达到最佳的宣传效果和最广泛的宣传影响力。项目验收合格率100%，完成年度</w:t>
      </w:r>
      <w:r>
        <w:rPr>
          <w:rFonts w:hint="eastAsia" w:ascii="仿宋_GB2312" w:hAnsi="黑体" w:eastAsia="仿宋_GB2312"/>
          <w:sz w:val="32"/>
          <w:szCs w:val="32"/>
        </w:rPr>
        <w:t>绩效目标</w:t>
      </w:r>
      <w:r>
        <w:rPr>
          <w:rFonts w:hint="eastAsia" w:ascii="仿宋_GB2312" w:hAnsi="仿宋" w:eastAsia="仿宋_GB2312"/>
          <w:sz w:val="32"/>
          <w:szCs w:val="32"/>
        </w:rPr>
        <w:t>。</w:t>
      </w:r>
    </w:p>
    <w:p>
      <w:pPr>
        <w:spacing w:line="560" w:lineRule="exact"/>
        <w:ind w:firstLine="643" w:firstLineChars="200"/>
        <w:jc w:val="left"/>
        <w:rPr>
          <w:rFonts w:ascii="仿宋_GB2312" w:hAnsi="仿宋_GB2312" w:eastAsia="仿宋_GB2312"/>
          <w:b/>
          <w:sz w:val="32"/>
          <w:szCs w:val="32"/>
        </w:rPr>
      </w:pPr>
      <w:r>
        <w:rPr>
          <w:rFonts w:hint="eastAsia" w:ascii="仿宋_GB2312" w:hAnsi="仿宋_GB2312" w:eastAsia="仿宋_GB2312"/>
          <w:b/>
          <w:sz w:val="32"/>
          <w:szCs w:val="32"/>
        </w:rPr>
        <w:t>北京福彩公益及游戏宣传项目-走进社区系列公益项目：</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通过形式丰富，对活动内容、开展方式等方面，线下部分对北京全域16个区域进行了全覆盖，50场活动覆盖人群为80万左右，现场参与互动达到5万多人，又通过展板、宣传单、礼品等形式二次宣传，活动实际触达人数达到100万以上，参与活动整体人群以40-60岁中老年人为主，巩固了传统彩票爱好者的购买习惯，夯实了基层基础市场份额，得到了充分肯定。线上部分以活动为载体，借助丰富的多元化传播渠道，形成扩散裂变的传播效能。把目标定位在80后、90后为主的年轻群体，旨在向年轻受众推广福彩品牌，吸引更多的年轻人关注福彩，体验福彩。口碑较好，未出现负面舆情。项目验收合格率100%，完成年度</w:t>
      </w:r>
      <w:r>
        <w:rPr>
          <w:rFonts w:hint="eastAsia" w:ascii="仿宋_GB2312" w:hAnsi="黑体" w:eastAsia="仿宋_GB2312"/>
          <w:sz w:val="32"/>
          <w:szCs w:val="32"/>
        </w:rPr>
        <w:t>绩效目标</w:t>
      </w:r>
      <w:r>
        <w:rPr>
          <w:rFonts w:hint="eastAsia" w:ascii="仿宋_GB2312" w:hAnsi="仿宋" w:eastAsia="仿宋_GB2312"/>
          <w:sz w:val="32"/>
          <w:szCs w:val="32"/>
        </w:rPr>
        <w:t>。</w:t>
      </w:r>
    </w:p>
    <w:p>
      <w:pPr>
        <w:spacing w:line="560" w:lineRule="exact"/>
        <w:ind w:firstLine="640" w:firstLineChars="200"/>
        <w:jc w:val="left"/>
        <w:rPr>
          <w:rFonts w:ascii="仿宋_GB2312" w:hAnsi="仿宋_GB2312" w:eastAsia="仿宋_GB2312"/>
          <w:sz w:val="32"/>
          <w:szCs w:val="32"/>
        </w:rPr>
      </w:pPr>
      <w:r>
        <w:rPr>
          <w:rFonts w:hint="eastAsia" w:ascii="仿宋_GB2312" w:hAnsi="黑体" w:eastAsia="仿宋_GB2312"/>
          <w:sz w:val="32"/>
          <w:szCs w:val="32"/>
        </w:rPr>
        <w:t>（</w:t>
      </w:r>
      <w:r>
        <w:rPr>
          <w:rFonts w:ascii="仿宋_GB2312" w:hAnsi="黑体" w:eastAsia="仿宋_GB2312"/>
          <w:sz w:val="32"/>
          <w:szCs w:val="32"/>
        </w:rPr>
        <w:t>3</w:t>
      </w:r>
      <w:r>
        <w:rPr>
          <w:rFonts w:hint="eastAsia" w:ascii="仿宋_GB2312" w:hAnsi="黑体" w:eastAsia="仿宋_GB2312"/>
          <w:sz w:val="32"/>
          <w:szCs w:val="32"/>
        </w:rPr>
        <w:t>）</w:t>
      </w:r>
      <w:r>
        <w:rPr>
          <w:rFonts w:hint="eastAsia" w:ascii="仿宋_GB2312" w:hAnsi="仿宋_GB2312" w:eastAsia="仿宋_GB2312"/>
          <w:sz w:val="32"/>
          <w:szCs w:val="32"/>
        </w:rPr>
        <w:t>时效指标</w:t>
      </w:r>
    </w:p>
    <w:p>
      <w:pPr>
        <w:spacing w:line="560" w:lineRule="exact"/>
        <w:ind w:firstLine="640" w:firstLineChars="200"/>
        <w:jc w:val="left"/>
        <w:rPr>
          <w:rFonts w:ascii="仿宋_GB2312" w:hAnsi="黑体" w:eastAsia="仿宋_GB2312"/>
          <w:sz w:val="32"/>
          <w:szCs w:val="32"/>
        </w:rPr>
      </w:pPr>
      <w:r>
        <w:rPr>
          <w:rFonts w:hint="eastAsia" w:ascii="仿宋_GB2312" w:hAnsi="仿宋_GB2312" w:eastAsia="仿宋_GB2312"/>
          <w:sz w:val="32"/>
          <w:szCs w:val="32"/>
        </w:rPr>
        <w:t>①开设、调整、停止彩票游戏前向社会发布公告及时率=</w:t>
      </w:r>
      <w:r>
        <w:rPr>
          <w:rFonts w:ascii="仿宋_GB2312" w:hAnsi="黑体" w:eastAsia="仿宋_GB2312"/>
          <w:sz w:val="32"/>
          <w:szCs w:val="32"/>
        </w:rPr>
        <w:t>100%</w:t>
      </w:r>
    </w:p>
    <w:p>
      <w:pPr>
        <w:spacing w:line="560" w:lineRule="exact"/>
        <w:ind w:firstLine="640" w:firstLineChars="200"/>
        <w:rPr>
          <w:rFonts w:ascii="仿宋_GB2312" w:hAnsi="仿宋_GB2312" w:eastAsia="仿宋_GB2312"/>
          <w:sz w:val="32"/>
          <w:szCs w:val="32"/>
        </w:rPr>
      </w:pPr>
      <w:r>
        <w:rPr>
          <w:rFonts w:hint="eastAsia" w:ascii="仿宋_GB2312" w:hAnsi="黑体" w:eastAsia="仿宋_GB2312"/>
          <w:sz w:val="32"/>
          <w:szCs w:val="32"/>
        </w:rPr>
        <w:t>2022年度北京市</w:t>
      </w:r>
      <w:r>
        <w:rPr>
          <w:rFonts w:ascii="仿宋_GB2312" w:hAnsi="黑体" w:eastAsia="仿宋_GB2312"/>
          <w:sz w:val="32"/>
          <w:szCs w:val="32"/>
        </w:rPr>
        <w:t>福利彩票无</w:t>
      </w:r>
      <w:r>
        <w:rPr>
          <w:rFonts w:hint="eastAsia" w:ascii="仿宋_GB2312" w:hAnsi="仿宋_GB2312" w:eastAsia="仿宋_GB2312"/>
          <w:sz w:val="32"/>
          <w:szCs w:val="32"/>
        </w:rPr>
        <w:t>开设、调整、停止的彩票游戏，未向社会发布相关公告。</w:t>
      </w:r>
    </w:p>
    <w:p>
      <w:pPr>
        <w:spacing w:line="560" w:lineRule="exact"/>
        <w:ind w:firstLine="640" w:firstLineChars="200"/>
        <w:rPr>
          <w:rFonts w:ascii="仿宋_GB2312" w:hAnsi="仿宋_GB2312"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w:t>
      </w:r>
      <w:r>
        <w:rPr>
          <w:rFonts w:hint="eastAsia" w:ascii="仿宋_GB2312" w:hAnsi="黑体" w:eastAsia="仿宋_GB2312"/>
          <w:sz w:val="32"/>
          <w:szCs w:val="32"/>
        </w:rPr>
        <w:t>效益指标</w:t>
      </w:r>
      <w:r>
        <w:rPr>
          <w:rFonts w:hint="eastAsia" w:ascii="仿宋_GB2312" w:hAnsi="仿宋_GB2312" w:eastAsia="仿宋_GB2312"/>
          <w:sz w:val="32"/>
          <w:szCs w:val="32"/>
        </w:rPr>
        <w:t>完成情况分析</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w:t>
      </w:r>
      <w:r>
        <w:rPr>
          <w:rFonts w:hint="eastAsia" w:ascii="仿宋_GB2312" w:hAnsi="仿宋_GB2312" w:eastAsia="仿宋_GB2312"/>
          <w:sz w:val="32"/>
          <w:szCs w:val="32"/>
        </w:rPr>
        <w:t>社会效益指标</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①彩票公益金筹集量≥上年筹集量80%</w:t>
      </w:r>
    </w:p>
    <w:p>
      <w:pPr>
        <w:spacing w:line="560" w:lineRule="exact"/>
        <w:ind w:firstLine="640" w:firstLineChars="200"/>
        <w:jc w:val="left"/>
        <w:rPr>
          <w:rFonts w:ascii="仿宋_GB2312" w:hAnsi="黑体" w:eastAsia="仿宋_GB2312"/>
          <w:sz w:val="32"/>
          <w:szCs w:val="32"/>
        </w:rPr>
      </w:pPr>
      <w:r>
        <w:rPr>
          <w:rFonts w:ascii="仿宋_GB2312" w:hAnsi="黑体" w:eastAsia="仿宋_GB2312"/>
          <w:sz w:val="32"/>
          <w:szCs w:val="32"/>
        </w:rPr>
        <w:t>2022年</w:t>
      </w:r>
      <w:r>
        <w:rPr>
          <w:rFonts w:hint="eastAsia" w:ascii="仿宋_GB2312" w:hAnsi="黑体" w:eastAsia="仿宋_GB2312"/>
          <w:sz w:val="32"/>
          <w:szCs w:val="32"/>
        </w:rPr>
        <w:t>上缴公益金</w:t>
      </w:r>
      <w:r>
        <w:rPr>
          <w:rFonts w:ascii="仿宋_GB2312" w:hAnsi="黑体" w:eastAsia="仿宋_GB2312"/>
          <w:sz w:val="32"/>
          <w:szCs w:val="32"/>
        </w:rPr>
        <w:t>119897.71</w:t>
      </w:r>
      <w:r>
        <w:rPr>
          <w:rFonts w:hint="eastAsia" w:ascii="仿宋_GB2312" w:hAnsi="黑体" w:eastAsia="仿宋_GB2312"/>
          <w:sz w:val="32"/>
          <w:szCs w:val="32"/>
        </w:rPr>
        <w:t>万元，较</w:t>
      </w:r>
      <w:r>
        <w:rPr>
          <w:rFonts w:ascii="仿宋_GB2312" w:hAnsi="黑体" w:eastAsia="仿宋_GB2312"/>
          <w:sz w:val="32"/>
          <w:szCs w:val="32"/>
        </w:rPr>
        <w:t>2021</w:t>
      </w:r>
      <w:r>
        <w:rPr>
          <w:rFonts w:hint="eastAsia" w:ascii="仿宋_GB2312" w:hAnsi="黑体" w:eastAsia="仿宋_GB2312"/>
          <w:sz w:val="32"/>
          <w:szCs w:val="32"/>
        </w:rPr>
        <w:t>年上缴公益金</w:t>
      </w:r>
      <w:r>
        <w:rPr>
          <w:rFonts w:ascii="仿宋_GB2312" w:hAnsi="黑体" w:eastAsia="仿宋_GB2312"/>
          <w:sz w:val="32"/>
          <w:szCs w:val="32"/>
        </w:rPr>
        <w:t>115569.6</w:t>
      </w:r>
      <w:r>
        <w:rPr>
          <w:rFonts w:hint="eastAsia" w:ascii="仿宋_GB2312" w:hAnsi="黑体" w:eastAsia="仿宋_GB2312"/>
          <w:sz w:val="32"/>
          <w:szCs w:val="32"/>
        </w:rPr>
        <w:t>万元增加4328.11万元</w:t>
      </w:r>
      <w:r>
        <w:rPr>
          <w:rFonts w:ascii="仿宋_GB2312" w:hAnsi="黑体" w:eastAsia="仿宋_GB2312"/>
          <w:sz w:val="32"/>
          <w:szCs w:val="32"/>
        </w:rPr>
        <w:t>，</w:t>
      </w:r>
      <w:r>
        <w:rPr>
          <w:rFonts w:hint="eastAsia" w:ascii="仿宋_GB2312" w:hAnsi="黑体" w:eastAsia="仿宋_GB2312"/>
          <w:sz w:val="32"/>
          <w:szCs w:val="32"/>
        </w:rPr>
        <w:t>增幅</w:t>
      </w:r>
      <w:r>
        <w:rPr>
          <w:rFonts w:ascii="仿宋_GB2312" w:hAnsi="黑体" w:eastAsia="仿宋_GB2312"/>
          <w:sz w:val="32"/>
          <w:szCs w:val="32"/>
        </w:rPr>
        <w:t>3.75%</w:t>
      </w:r>
      <w:r>
        <w:rPr>
          <w:rFonts w:hint="eastAsia" w:ascii="仿宋_GB2312" w:hAnsi="黑体" w:eastAsia="仿宋_GB2312"/>
          <w:sz w:val="32"/>
          <w:szCs w:val="32"/>
        </w:rPr>
        <w:t>，2022年彩票公益金筹集量为上年筹集量的</w:t>
      </w:r>
      <w:r>
        <w:rPr>
          <w:rFonts w:ascii="仿宋_GB2312" w:hAnsi="黑体" w:eastAsia="仿宋_GB2312"/>
          <w:sz w:val="32"/>
          <w:szCs w:val="32"/>
        </w:rPr>
        <w:t>103.75</w:t>
      </w:r>
      <w:r>
        <w:rPr>
          <w:rFonts w:hint="eastAsia" w:ascii="仿宋_GB2312" w:hAnsi="黑体" w:eastAsia="仿宋_GB2312"/>
          <w:sz w:val="32"/>
          <w:szCs w:val="32"/>
        </w:rPr>
        <w:t>%，完成彩票公益金筹集量≥上年筹集量80%的年度绩效目标。</w:t>
      </w:r>
    </w:p>
    <w:p>
      <w:pPr>
        <w:spacing w:line="560" w:lineRule="exact"/>
        <w:ind w:firstLine="640" w:firstLineChars="200"/>
        <w:jc w:val="left"/>
        <w:rPr>
          <w:rFonts w:ascii="仿宋_GB2312" w:hAnsi="黑体" w:eastAsia="仿宋_GB2312"/>
          <w:sz w:val="32"/>
          <w:szCs w:val="32"/>
        </w:rPr>
      </w:pPr>
      <w:r>
        <w:rPr>
          <w:rFonts w:hint="eastAsia" w:ascii="仿宋_GB2312" w:hAnsi="仿宋_GB2312" w:eastAsia="仿宋_GB2312" w:cs="仿宋_GB2312"/>
          <w:sz w:val="32"/>
          <w:szCs w:val="32"/>
        </w:rPr>
        <w:t>②</w:t>
      </w:r>
      <w:r>
        <w:rPr>
          <w:rFonts w:hint="eastAsia" w:ascii="仿宋_GB2312" w:hAnsi="黑体" w:eastAsia="仿宋_GB2312"/>
          <w:sz w:val="32"/>
          <w:szCs w:val="32"/>
        </w:rPr>
        <w:t>国家彩票公益属性和社会责任宣传力度逐步提升</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通过在公交车身户外媒体宣传、广播电台宣传以及走进社区系列公益领域，开展更大营销规模宣传福彩公益理念，精准锁定城市消费人群，覆盖不同受众群体，借助车身载体、广播电台、走进社区等媒体形式，触达人群覆盖面广，品牌传播效果好，推广了福彩品牌，增强了福彩影响力和知名度、美誉度，是强化品牌形象的又一次尝试和创新。</w:t>
      </w:r>
      <w:r>
        <w:rPr>
          <w:rFonts w:hint="eastAsia" w:ascii="仿宋_GB2312" w:hAnsi="黑体" w:eastAsia="仿宋_GB2312"/>
          <w:sz w:val="32"/>
          <w:szCs w:val="32"/>
        </w:rPr>
        <w:t>广大市民在欢乐中感受到了福彩文化的公益内涵，进一步提升了福利彩票的影响力和公信力，实际</w:t>
      </w:r>
      <w:r>
        <w:rPr>
          <w:rFonts w:hint="eastAsia" w:ascii="仿宋_GB2312" w:hAnsi="仿宋" w:eastAsia="仿宋_GB2312"/>
          <w:sz w:val="32"/>
          <w:szCs w:val="32"/>
        </w:rPr>
        <w:t>完成年度</w:t>
      </w:r>
      <w:r>
        <w:rPr>
          <w:rFonts w:hint="eastAsia" w:ascii="仿宋_GB2312" w:hAnsi="黑体" w:eastAsia="仿宋_GB2312"/>
          <w:sz w:val="32"/>
          <w:szCs w:val="32"/>
        </w:rPr>
        <w:t>绩效</w:t>
      </w:r>
      <w:r>
        <w:rPr>
          <w:rFonts w:hint="eastAsia" w:ascii="仿宋_GB2312" w:hAnsi="仿宋" w:eastAsia="仿宋_GB2312"/>
          <w:sz w:val="32"/>
          <w:szCs w:val="32"/>
        </w:rPr>
        <w:t>目标。</w:t>
      </w: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③有效维护市场秩序：当地彩票市场秩序总体情况，是否发现彩票相关违法违规行为；开展彩票市场日常监管，有效查处违规行为、移送违法行为，核查人民来信反映问题等情况。</w:t>
      </w:r>
    </w:p>
    <w:p>
      <w:pPr>
        <w:spacing w:line="560" w:lineRule="exact"/>
        <w:ind w:firstLine="640" w:firstLineChars="200"/>
        <w:jc w:val="left"/>
        <w:rPr>
          <w:rStyle w:val="13"/>
          <w:rFonts w:hint="default"/>
        </w:rPr>
      </w:pPr>
      <w:r>
        <w:rPr>
          <w:rStyle w:val="13"/>
          <w:rFonts w:hint="default"/>
        </w:rPr>
        <w:t>2022年市福彩中心维护市场秩序的措施包括：</w:t>
      </w:r>
    </w:p>
    <w:p>
      <w:pPr>
        <w:spacing w:line="560" w:lineRule="exact"/>
        <w:ind w:firstLine="640" w:firstLineChars="200"/>
        <w:jc w:val="left"/>
        <w:rPr>
          <w:rStyle w:val="13"/>
          <w:rFonts w:hint="default"/>
        </w:rPr>
      </w:pPr>
      <w:r>
        <w:rPr>
          <w:rStyle w:val="13"/>
          <w:rFonts w:hint="default"/>
        </w:rPr>
        <w:t>一是加强销售站日常巡查监管。</w:t>
      </w:r>
      <w:r>
        <w:rPr>
          <w:rFonts w:hint="eastAsia" w:ascii="仿宋_GB2312" w:hAnsi="仿宋" w:eastAsia="仿宋_GB2312"/>
          <w:sz w:val="32"/>
          <w:szCs w:val="32"/>
        </w:rPr>
        <w:t>2</w:t>
      </w:r>
      <w:r>
        <w:rPr>
          <w:rFonts w:ascii="仿宋_GB2312" w:hAnsi="仿宋" w:eastAsia="仿宋_GB2312"/>
          <w:sz w:val="32"/>
          <w:szCs w:val="32"/>
        </w:rPr>
        <w:t>022</w:t>
      </w:r>
      <w:r>
        <w:rPr>
          <w:rFonts w:hint="eastAsia" w:ascii="仿宋_GB2312" w:hAnsi="仿宋" w:eastAsia="仿宋_GB2312"/>
          <w:sz w:val="32"/>
          <w:szCs w:val="32"/>
        </w:rPr>
        <w:t>年市福彩中心</w:t>
      </w:r>
      <w:r>
        <w:rPr>
          <w:rFonts w:hint="eastAsia" w:ascii="仿宋_GB2312" w:hAnsi="楷体" w:eastAsia="仿宋_GB2312"/>
          <w:sz w:val="32"/>
          <w:szCs w:val="32"/>
        </w:rPr>
        <w:t>制定并完善销售站巡查管理工作规范，</w:t>
      </w:r>
      <w:r>
        <w:rPr>
          <w:rFonts w:hint="eastAsia" w:ascii="仿宋_GB2312" w:hAnsi="仿宋_GB2312" w:eastAsia="仿宋_GB2312"/>
          <w:sz w:val="32"/>
          <w:szCs w:val="32"/>
        </w:rPr>
        <w:t>优化“阳光福彩”服务平台，确定了以销售合规性、店内环境、宣传展示、警示标识、疫情防控、消防安全、服务水平等7类25项日常监管内容。以巡查工作为抓手，查找销售站问题并及时督促整改，杜绝市场乱象，引导代销者依法合规、安全有序的进行彩票销售，强化行业监管。</w:t>
      </w:r>
      <w:r>
        <w:rPr>
          <w:rStyle w:val="13"/>
          <w:rFonts w:hint="default"/>
        </w:rPr>
        <w:t>2022年共完成巡查2.8万余站次，有效维护彩票良好的市场秩序。</w:t>
      </w:r>
    </w:p>
    <w:p>
      <w:pPr>
        <w:spacing w:line="560" w:lineRule="exact"/>
        <w:ind w:firstLine="640" w:firstLineChars="200"/>
        <w:jc w:val="left"/>
        <w:rPr>
          <w:rFonts w:ascii="仿宋_GB2312" w:hAnsi="仿宋_GB2312" w:eastAsia="仿宋_GB2312"/>
          <w:sz w:val="32"/>
          <w:szCs w:val="32"/>
        </w:rPr>
      </w:pPr>
      <w:r>
        <w:rPr>
          <w:rStyle w:val="13"/>
          <w:rFonts w:hint="default"/>
        </w:rPr>
        <w:t>二是</w:t>
      </w:r>
      <w:r>
        <w:rPr>
          <w:rFonts w:hint="eastAsia" w:ascii="仿宋_GB2312" w:eastAsia="仿宋_GB2312"/>
          <w:sz w:val="32"/>
          <w:szCs w:val="32"/>
        </w:rPr>
        <w:t>严格落实</w:t>
      </w:r>
      <w:r>
        <w:rPr>
          <w:rFonts w:ascii="仿宋_GB2312" w:eastAsia="仿宋_GB2312"/>
          <w:sz w:val="32"/>
          <w:szCs w:val="32"/>
        </w:rPr>
        <w:t>疫情防控</w:t>
      </w:r>
      <w:r>
        <w:rPr>
          <w:rFonts w:hint="eastAsia" w:ascii="仿宋_GB2312" w:eastAsia="仿宋_GB2312"/>
          <w:sz w:val="32"/>
          <w:szCs w:val="32"/>
        </w:rPr>
        <w:t>监督检查</w:t>
      </w:r>
      <w:r>
        <w:rPr>
          <w:rFonts w:ascii="仿宋_GB2312" w:eastAsia="仿宋_GB2312"/>
          <w:sz w:val="32"/>
          <w:szCs w:val="32"/>
        </w:rPr>
        <w:t>工作。根据</w:t>
      </w:r>
      <w:r>
        <w:rPr>
          <w:rFonts w:hint="eastAsia" w:ascii="仿宋_GB2312" w:eastAsia="仿宋_GB2312"/>
          <w:sz w:val="32"/>
          <w:szCs w:val="32"/>
        </w:rPr>
        <w:t>全市</w:t>
      </w:r>
      <w:r>
        <w:rPr>
          <w:rFonts w:ascii="仿宋_GB2312" w:eastAsia="仿宋_GB2312"/>
          <w:sz w:val="32"/>
          <w:szCs w:val="32"/>
        </w:rPr>
        <w:t>疫情</w:t>
      </w:r>
      <w:r>
        <w:rPr>
          <w:rFonts w:hint="eastAsia" w:ascii="仿宋_GB2312" w:eastAsia="仿宋_GB2312"/>
          <w:sz w:val="32"/>
          <w:szCs w:val="32"/>
        </w:rPr>
        <w:t>防控</w:t>
      </w:r>
      <w:r>
        <w:rPr>
          <w:rFonts w:ascii="仿宋_GB2312" w:eastAsia="仿宋_GB2312"/>
          <w:sz w:val="32"/>
          <w:szCs w:val="32"/>
        </w:rPr>
        <w:t>工作部署要求，</w:t>
      </w:r>
      <w:r>
        <w:rPr>
          <w:rFonts w:hint="eastAsia" w:ascii="仿宋_GB2312" w:eastAsia="仿宋_GB2312"/>
          <w:sz w:val="32"/>
          <w:szCs w:val="32"/>
        </w:rPr>
        <w:t>及时</w:t>
      </w:r>
      <w:r>
        <w:rPr>
          <w:rFonts w:ascii="仿宋_GB2312" w:eastAsia="仿宋_GB2312"/>
          <w:sz w:val="32"/>
          <w:szCs w:val="32"/>
        </w:rPr>
        <w:t>分区域研判</w:t>
      </w:r>
      <w:r>
        <w:rPr>
          <w:rFonts w:hint="eastAsia" w:ascii="仿宋_GB2312" w:eastAsia="仿宋_GB2312"/>
          <w:sz w:val="32"/>
          <w:szCs w:val="32"/>
        </w:rPr>
        <w:t>销售</w:t>
      </w:r>
      <w:r>
        <w:rPr>
          <w:rFonts w:ascii="仿宋_GB2312" w:eastAsia="仿宋_GB2312"/>
          <w:sz w:val="32"/>
          <w:szCs w:val="32"/>
        </w:rPr>
        <w:t>条件</w:t>
      </w:r>
      <w:r>
        <w:rPr>
          <w:rFonts w:hint="eastAsia" w:ascii="仿宋_GB2312" w:eastAsia="仿宋_GB2312"/>
          <w:sz w:val="32"/>
          <w:szCs w:val="32"/>
        </w:rPr>
        <w:t>，</w:t>
      </w:r>
      <w:r>
        <w:rPr>
          <w:rFonts w:ascii="仿宋_GB2312" w:eastAsia="仿宋_GB2312"/>
          <w:sz w:val="32"/>
          <w:szCs w:val="32"/>
        </w:rPr>
        <w:t>落实</w:t>
      </w:r>
      <w:r>
        <w:rPr>
          <w:rFonts w:hint="eastAsia" w:ascii="仿宋_GB2312" w:eastAsia="仿宋_GB2312"/>
          <w:sz w:val="32"/>
          <w:szCs w:val="32"/>
        </w:rPr>
        <w:t>暂停销售</w:t>
      </w:r>
      <w:r>
        <w:rPr>
          <w:rFonts w:ascii="仿宋_GB2312" w:eastAsia="仿宋_GB2312"/>
          <w:sz w:val="32"/>
          <w:szCs w:val="32"/>
        </w:rPr>
        <w:t>、窗口销售等要求，8</w:t>
      </w:r>
      <w:r>
        <w:rPr>
          <w:rFonts w:hint="eastAsia" w:ascii="仿宋_GB2312" w:eastAsia="仿宋_GB2312"/>
          <w:sz w:val="32"/>
          <w:szCs w:val="32"/>
        </w:rPr>
        <w:t>次</w:t>
      </w:r>
      <w:r>
        <w:rPr>
          <w:rFonts w:ascii="仿宋_GB2312" w:eastAsia="仿宋_GB2312"/>
          <w:sz w:val="32"/>
          <w:szCs w:val="32"/>
        </w:rPr>
        <w:t>印发加强疫情防控工作的通知，</w:t>
      </w:r>
      <w:r>
        <w:rPr>
          <w:rFonts w:ascii="仿宋_GB2312" w:hAnsi="仿宋_GB2312" w:eastAsia="仿宋_GB2312"/>
          <w:sz w:val="32"/>
          <w:szCs w:val="32"/>
        </w:rPr>
        <w:t>联合市体彩中心</w:t>
      </w:r>
      <w:r>
        <w:rPr>
          <w:rFonts w:hint="eastAsia" w:ascii="仿宋_GB2312" w:hAnsi="仿宋_GB2312" w:eastAsia="仿宋_GB2312"/>
          <w:sz w:val="32"/>
          <w:szCs w:val="32"/>
        </w:rPr>
        <w:t>加大</w:t>
      </w:r>
      <w:r>
        <w:rPr>
          <w:rFonts w:ascii="仿宋_GB2312" w:hAnsi="仿宋_GB2312" w:eastAsia="仿宋_GB2312"/>
          <w:sz w:val="32"/>
          <w:szCs w:val="32"/>
        </w:rPr>
        <w:t>巡查力度，对疫情防控措施落实不到位</w:t>
      </w:r>
      <w:r>
        <w:rPr>
          <w:rFonts w:hint="eastAsia" w:ascii="仿宋_GB2312" w:hAnsi="仿宋_GB2312" w:eastAsia="仿宋_GB2312"/>
          <w:sz w:val="32"/>
          <w:szCs w:val="32"/>
        </w:rPr>
        <w:t>的2</w:t>
      </w:r>
      <w:r>
        <w:rPr>
          <w:rFonts w:ascii="仿宋_GB2312" w:hAnsi="仿宋_GB2312" w:eastAsia="仿宋_GB2312"/>
          <w:sz w:val="32"/>
          <w:szCs w:val="32"/>
        </w:rPr>
        <w:t>1</w:t>
      </w:r>
      <w:r>
        <w:rPr>
          <w:rFonts w:hint="eastAsia" w:ascii="仿宋_GB2312" w:hAnsi="仿宋_GB2312" w:eastAsia="仿宋_GB2312"/>
          <w:sz w:val="32"/>
          <w:szCs w:val="32"/>
        </w:rPr>
        <w:t>家</w:t>
      </w:r>
      <w:r>
        <w:rPr>
          <w:rFonts w:ascii="仿宋_GB2312" w:hAnsi="仿宋_GB2312" w:eastAsia="仿宋_GB2312"/>
          <w:sz w:val="32"/>
          <w:szCs w:val="32"/>
        </w:rPr>
        <w:t>销售站给予停机处理并全市通报。</w:t>
      </w:r>
    </w:p>
    <w:p>
      <w:pPr>
        <w:spacing w:line="560" w:lineRule="exact"/>
        <w:ind w:firstLine="640" w:firstLineChars="200"/>
        <w:jc w:val="left"/>
        <w:rPr>
          <w:rFonts w:ascii="仿宋_GB2312" w:hAnsi="Calibri" w:eastAsia="仿宋_GB2312"/>
          <w:sz w:val="32"/>
          <w:szCs w:val="32"/>
        </w:rPr>
      </w:pPr>
      <w:r>
        <w:rPr>
          <w:rFonts w:hint="eastAsia" w:ascii="仿宋_GB2312" w:hAnsi="仿宋_GB2312" w:eastAsia="仿宋_GB2312"/>
          <w:sz w:val="32"/>
          <w:szCs w:val="32"/>
        </w:rPr>
        <w:t>三是</w:t>
      </w:r>
      <w:r>
        <w:rPr>
          <w:rFonts w:hint="eastAsia" w:ascii="仿宋_GB2312" w:eastAsia="仿宋_GB2312"/>
          <w:sz w:val="32"/>
          <w:szCs w:val="32"/>
        </w:rPr>
        <w:t>加强</w:t>
      </w:r>
      <w:r>
        <w:rPr>
          <w:rFonts w:ascii="仿宋_GB2312" w:eastAsia="仿宋_GB2312"/>
          <w:sz w:val="32"/>
          <w:szCs w:val="32"/>
        </w:rPr>
        <w:t>社会监督。设立客服投诉举报专线，加强</w:t>
      </w:r>
      <w:r>
        <w:rPr>
          <w:rFonts w:hint="eastAsia" w:ascii="仿宋_GB2312" w:eastAsia="仿宋_GB2312"/>
          <w:sz w:val="32"/>
          <w:szCs w:val="32"/>
        </w:rPr>
        <w:t>对</w:t>
      </w:r>
      <w:r>
        <w:rPr>
          <w:rFonts w:ascii="仿宋_GB2312" w:eastAsia="仿宋_GB2312"/>
          <w:sz w:val="32"/>
          <w:szCs w:val="32"/>
        </w:rPr>
        <w:t>违规售彩的社会监督，</w:t>
      </w:r>
      <w:r>
        <w:rPr>
          <w:rStyle w:val="13"/>
          <w:rFonts w:hint="default"/>
        </w:rPr>
        <w:t>2022年共处理市民诉求77例，</w:t>
      </w:r>
      <w:r>
        <w:rPr>
          <w:rFonts w:ascii="仿宋_GB2312" w:eastAsia="仿宋_GB2312"/>
          <w:sz w:val="32"/>
          <w:szCs w:val="32"/>
        </w:rPr>
        <w:t>发现问题及时核查，</w:t>
      </w:r>
      <w:r>
        <w:rPr>
          <w:rFonts w:hint="eastAsia" w:ascii="仿宋_GB2312" w:eastAsia="仿宋_GB2312"/>
          <w:sz w:val="32"/>
          <w:szCs w:val="32"/>
        </w:rPr>
        <w:t>精准处理</w:t>
      </w:r>
      <w:r>
        <w:rPr>
          <w:rFonts w:ascii="仿宋_GB2312" w:eastAsia="仿宋_GB2312"/>
          <w:sz w:val="32"/>
          <w:szCs w:val="32"/>
        </w:rPr>
        <w:t>、</w:t>
      </w:r>
      <w:r>
        <w:rPr>
          <w:rFonts w:hint="eastAsia" w:ascii="仿宋_GB2312" w:eastAsia="仿宋_GB2312"/>
          <w:sz w:val="32"/>
          <w:szCs w:val="32"/>
        </w:rPr>
        <w:t>分析研判</w:t>
      </w:r>
      <w:r>
        <w:rPr>
          <w:rFonts w:ascii="仿宋_GB2312" w:eastAsia="仿宋_GB2312"/>
          <w:sz w:val="32"/>
          <w:szCs w:val="32"/>
        </w:rPr>
        <w:t>、</w:t>
      </w:r>
      <w:r>
        <w:rPr>
          <w:rFonts w:hint="eastAsia" w:ascii="仿宋_GB2312" w:eastAsia="仿宋_GB2312"/>
          <w:sz w:val="32"/>
          <w:szCs w:val="32"/>
        </w:rPr>
        <w:t>举一反三，梳理明确</w:t>
      </w:r>
      <w:r>
        <w:rPr>
          <w:rFonts w:ascii="仿宋_GB2312" w:eastAsia="仿宋_GB2312"/>
          <w:sz w:val="32"/>
          <w:szCs w:val="32"/>
        </w:rPr>
        <w:t>监督管理</w:t>
      </w:r>
      <w:r>
        <w:rPr>
          <w:rFonts w:hint="eastAsia" w:ascii="仿宋_GB2312" w:eastAsia="仿宋_GB2312"/>
          <w:sz w:val="32"/>
          <w:szCs w:val="32"/>
        </w:rPr>
        <w:t>、</w:t>
      </w:r>
      <w:r>
        <w:rPr>
          <w:rFonts w:ascii="仿宋_GB2312" w:eastAsia="仿宋_GB2312"/>
          <w:sz w:val="32"/>
          <w:szCs w:val="32"/>
        </w:rPr>
        <w:t>宣传引导的重点和方向。</w:t>
      </w:r>
      <w:r>
        <w:rPr>
          <w:rFonts w:hint="eastAsia" w:ascii="仿宋_GB2312" w:hAnsi="仿宋_GB2312" w:eastAsia="仿宋_GB2312" w:cs="仿宋"/>
          <w:kern w:val="0"/>
          <w:sz w:val="32"/>
          <w:szCs w:val="32"/>
        </w:rPr>
        <w:t>做到接诉即办，推进未诉先办，</w:t>
      </w:r>
      <w:r>
        <w:rPr>
          <w:rFonts w:hint="eastAsia" w:ascii="仿宋_GB2312" w:hAnsi="Calibri" w:eastAsia="仿宋_GB2312"/>
          <w:sz w:val="32"/>
          <w:szCs w:val="32"/>
        </w:rPr>
        <w:t>强化问题解决追踪管理，形成更广泛的监督。</w:t>
      </w:r>
    </w:p>
    <w:p>
      <w:pPr>
        <w:spacing w:line="560" w:lineRule="exact"/>
        <w:ind w:firstLine="640" w:firstLineChars="200"/>
        <w:jc w:val="left"/>
        <w:rPr>
          <w:rFonts w:ascii="仿宋_GB2312" w:hAnsi="仿宋_GB2312" w:eastAsia="仿宋_GB2312"/>
          <w:sz w:val="32"/>
          <w:szCs w:val="32"/>
        </w:rPr>
      </w:pPr>
      <w:r>
        <w:rPr>
          <w:rFonts w:hint="eastAsia" w:ascii="仿宋_GB2312" w:hAnsi="Calibri" w:eastAsia="仿宋_GB2312"/>
          <w:sz w:val="32"/>
          <w:szCs w:val="32"/>
        </w:rPr>
        <w:t>通过以上</w:t>
      </w:r>
      <w:r>
        <w:rPr>
          <w:rFonts w:ascii="仿宋_GB2312" w:hAnsi="Calibri" w:eastAsia="仿宋_GB2312"/>
          <w:sz w:val="32"/>
          <w:szCs w:val="32"/>
        </w:rPr>
        <w:t>措施的实施有效</w:t>
      </w:r>
      <w:r>
        <w:rPr>
          <w:rFonts w:hint="eastAsia" w:ascii="仿宋_GB2312" w:hAnsi="Calibri" w:eastAsia="仿宋_GB2312"/>
          <w:sz w:val="32"/>
          <w:szCs w:val="32"/>
        </w:rPr>
        <w:t>维护</w:t>
      </w:r>
      <w:r>
        <w:rPr>
          <w:rFonts w:ascii="仿宋_GB2312" w:hAnsi="Calibri" w:eastAsia="仿宋_GB2312"/>
          <w:sz w:val="32"/>
          <w:szCs w:val="32"/>
        </w:rPr>
        <w:t>了</w:t>
      </w:r>
      <w:r>
        <w:rPr>
          <w:rFonts w:hint="eastAsia" w:ascii="仿宋_GB2312" w:hAnsi="Calibri" w:eastAsia="仿宋_GB2312"/>
          <w:sz w:val="32"/>
          <w:szCs w:val="32"/>
        </w:rPr>
        <w:t>北京市</w:t>
      </w:r>
      <w:r>
        <w:rPr>
          <w:rFonts w:ascii="仿宋_GB2312" w:hAnsi="Calibri" w:eastAsia="仿宋_GB2312"/>
          <w:sz w:val="32"/>
          <w:szCs w:val="32"/>
        </w:rPr>
        <w:t>福利</w:t>
      </w:r>
      <w:r>
        <w:rPr>
          <w:rFonts w:hint="eastAsia" w:ascii="仿宋_GB2312" w:hAnsi="Calibri" w:eastAsia="仿宋_GB2312"/>
          <w:sz w:val="32"/>
          <w:szCs w:val="32"/>
        </w:rPr>
        <w:t>彩票市场秩序</w:t>
      </w:r>
      <w:r>
        <w:rPr>
          <w:rFonts w:ascii="仿宋_GB2312" w:hAnsi="Calibri" w:eastAsia="仿宋_GB2312"/>
          <w:sz w:val="32"/>
          <w:szCs w:val="32"/>
        </w:rPr>
        <w:t>，完成</w:t>
      </w:r>
      <w:r>
        <w:rPr>
          <w:rFonts w:hint="eastAsia" w:ascii="仿宋_GB2312" w:hAnsi="仿宋" w:eastAsia="仿宋_GB2312"/>
          <w:sz w:val="32"/>
          <w:szCs w:val="32"/>
        </w:rPr>
        <w:t>年度</w:t>
      </w:r>
      <w:r>
        <w:rPr>
          <w:rFonts w:hint="eastAsia" w:ascii="仿宋_GB2312" w:hAnsi="黑体" w:eastAsia="仿宋_GB2312"/>
          <w:sz w:val="32"/>
          <w:szCs w:val="32"/>
        </w:rPr>
        <w:t>绩效</w:t>
      </w:r>
      <w:r>
        <w:rPr>
          <w:rFonts w:hint="eastAsia" w:ascii="仿宋_GB2312" w:hAnsi="仿宋" w:eastAsia="仿宋_GB2312"/>
          <w:sz w:val="32"/>
          <w:szCs w:val="32"/>
        </w:rPr>
        <w:t>目标。</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④购彩便利性和舒适性有效改善</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市福彩中心</w:t>
      </w:r>
      <w:r>
        <w:rPr>
          <w:rFonts w:ascii="仿宋_GB2312" w:hAnsi="黑体" w:eastAsia="仿宋_GB2312"/>
          <w:sz w:val="32"/>
          <w:szCs w:val="32"/>
        </w:rPr>
        <w:t>通过优化彩票游戏，丰富了彩民的选择</w:t>
      </w:r>
      <w:r>
        <w:rPr>
          <w:rFonts w:hint="eastAsia" w:ascii="仿宋_GB2312" w:hAnsi="黑体" w:eastAsia="仿宋_GB2312"/>
          <w:sz w:val="32"/>
          <w:szCs w:val="32"/>
        </w:rPr>
        <w:t>；</w:t>
      </w:r>
      <w:r>
        <w:rPr>
          <w:rFonts w:ascii="仿宋_GB2312" w:hAnsi="黑体" w:eastAsia="仿宋_GB2312"/>
          <w:sz w:val="32"/>
          <w:szCs w:val="32"/>
        </w:rPr>
        <w:t>通过销售渠道的拓展，</w:t>
      </w:r>
      <w:r>
        <w:rPr>
          <w:rFonts w:hint="eastAsia" w:ascii="仿宋_GB2312" w:hAnsi="黑体" w:eastAsia="仿宋_GB2312"/>
          <w:sz w:val="32"/>
          <w:szCs w:val="32"/>
        </w:rPr>
        <w:t>逐步推进全市销售网点</w:t>
      </w:r>
      <w:r>
        <w:rPr>
          <w:rFonts w:ascii="仿宋_GB2312" w:hAnsi="黑体" w:eastAsia="仿宋_GB2312"/>
          <w:sz w:val="32"/>
          <w:szCs w:val="32"/>
        </w:rPr>
        <w:t>的</w:t>
      </w:r>
      <w:r>
        <w:rPr>
          <w:rFonts w:hint="eastAsia" w:ascii="仿宋_GB2312" w:hAnsi="黑体" w:eastAsia="仿宋_GB2312"/>
          <w:sz w:val="32"/>
          <w:szCs w:val="32"/>
        </w:rPr>
        <w:t>稳步增长，既为广大市民和购彩者提供了便利，也能更好地传递购买福利彩票是为社会事业作奉献、为公益事业献爱心的公益理念，让更多人进一步树立“随手做公益”的理念，使得</w:t>
      </w:r>
      <w:r>
        <w:rPr>
          <w:rFonts w:hint="eastAsia" w:ascii="仿宋_GB2312" w:hAnsi="仿宋_GB2312" w:eastAsia="仿宋_GB2312" w:cs="仿宋_GB2312"/>
          <w:sz w:val="32"/>
          <w:szCs w:val="32"/>
        </w:rPr>
        <w:t>购彩便利性和舒适性有效改善，</w:t>
      </w:r>
      <w:r>
        <w:rPr>
          <w:rFonts w:ascii="仿宋_GB2312" w:hAnsi="仿宋_GB2312" w:eastAsia="仿宋_GB2312" w:cs="仿宋_GB2312"/>
          <w:sz w:val="32"/>
          <w:szCs w:val="32"/>
        </w:rPr>
        <w:t>完成年度绩效目标</w:t>
      </w:r>
      <w:r>
        <w:rPr>
          <w:rFonts w:hint="eastAsia" w:ascii="仿宋_GB2312" w:hAnsi="黑体" w:eastAsia="仿宋_GB2312"/>
          <w:sz w:val="32"/>
          <w:szCs w:val="32"/>
        </w:rPr>
        <w:t>。</w:t>
      </w:r>
    </w:p>
    <w:p>
      <w:pPr>
        <w:spacing w:line="560" w:lineRule="exact"/>
        <w:ind w:firstLine="640" w:firstLineChars="200"/>
        <w:jc w:val="left"/>
        <w:rPr>
          <w:rFonts w:ascii="仿宋_GB2312" w:hAnsi="仿宋_GB2312" w:eastAsia="仿宋_GB2312"/>
          <w:sz w:val="32"/>
          <w:szCs w:val="32"/>
        </w:rPr>
      </w:pPr>
      <w:r>
        <w:rPr>
          <w:rFonts w:hint="eastAsia" w:ascii="仿宋_GB2312" w:hAnsi="仿宋" w:eastAsia="仿宋_GB2312"/>
          <w:sz w:val="32"/>
          <w:szCs w:val="32"/>
        </w:rPr>
        <w:t>3</w:t>
      </w:r>
      <w:r>
        <w:rPr>
          <w:rFonts w:ascii="仿宋_GB2312" w:hAnsi="仿宋" w:eastAsia="仿宋_GB2312"/>
          <w:sz w:val="32"/>
          <w:szCs w:val="32"/>
        </w:rPr>
        <w:t>.满意度指标</w:t>
      </w:r>
      <w:r>
        <w:rPr>
          <w:rFonts w:hint="eastAsia" w:ascii="仿宋_GB2312" w:hAnsi="仿宋_GB2312" w:eastAsia="仿宋_GB2312"/>
          <w:sz w:val="32"/>
          <w:szCs w:val="32"/>
        </w:rPr>
        <w:t>完成情况分析</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（1）服务对象满意度指标</w:t>
      </w:r>
    </w:p>
    <w:p>
      <w:pPr>
        <w:spacing w:line="560" w:lineRule="exact"/>
        <w:ind w:firstLine="707" w:firstLineChars="221"/>
        <w:rPr>
          <w:rFonts w:ascii="仿宋_GB2312" w:hAnsi="仿宋" w:eastAsia="仿宋_GB2312"/>
          <w:sz w:val="32"/>
          <w:szCs w:val="32"/>
        </w:rPr>
      </w:pPr>
      <w:r>
        <w:rPr>
          <w:rFonts w:hint="eastAsia" w:ascii="仿宋_GB2312" w:hAnsi="仿宋" w:eastAsia="仿宋_GB2312"/>
          <w:sz w:val="32"/>
          <w:szCs w:val="32"/>
        </w:rPr>
        <w:t>①彩民满意度≥90%</w:t>
      </w:r>
    </w:p>
    <w:p>
      <w:pPr>
        <w:spacing w:line="560" w:lineRule="exact"/>
        <w:ind w:firstLine="707" w:firstLineChars="221"/>
        <w:rPr>
          <w:rFonts w:ascii="仿宋_GB2312" w:hAnsi="仿宋" w:eastAsia="仿宋_GB2312"/>
          <w:sz w:val="32"/>
          <w:szCs w:val="32"/>
        </w:rPr>
      </w:pPr>
      <w:r>
        <w:rPr>
          <w:rFonts w:hint="eastAsia" w:ascii="仿宋_GB2312" w:hAnsi="仿宋" w:eastAsia="仿宋_GB2312"/>
          <w:sz w:val="32"/>
          <w:szCs w:val="32"/>
        </w:rPr>
        <w:t>市福彩中心始终强调“以人为本”，切实维护购彩者的利益，倡导“寓募于乐、多人少买、量力而行、理性投注”的购彩理念，引导公众购买彩票、奉献爱心、扩大发行规模、筹集公益金，为社会福利事业、社会公益事业多作贡献的责任理念，得到</w:t>
      </w:r>
      <w:r>
        <w:rPr>
          <w:rFonts w:ascii="仿宋_GB2312" w:hAnsi="仿宋" w:eastAsia="仿宋_GB2312"/>
          <w:sz w:val="32"/>
          <w:szCs w:val="32"/>
        </w:rPr>
        <w:t>社会公众</w:t>
      </w:r>
      <w:r>
        <w:rPr>
          <w:rFonts w:hint="eastAsia" w:ascii="仿宋_GB2312" w:hAnsi="仿宋" w:eastAsia="仿宋_GB2312"/>
          <w:sz w:val="32"/>
          <w:szCs w:val="32"/>
        </w:rPr>
        <w:t>广泛认可以及受众群体</w:t>
      </w:r>
      <w:r>
        <w:rPr>
          <w:rFonts w:ascii="仿宋_GB2312" w:hAnsi="仿宋" w:eastAsia="仿宋_GB2312"/>
          <w:sz w:val="32"/>
          <w:szCs w:val="32"/>
        </w:rPr>
        <w:t>满意度</w:t>
      </w:r>
      <w:r>
        <w:rPr>
          <w:rFonts w:hint="eastAsia" w:ascii="仿宋_GB2312" w:hAnsi="仿宋" w:eastAsia="仿宋_GB2312"/>
          <w:sz w:val="32"/>
          <w:szCs w:val="32"/>
        </w:rPr>
        <w:t>提</w:t>
      </w:r>
      <w:r>
        <w:rPr>
          <w:rFonts w:ascii="仿宋_GB2312" w:hAnsi="仿宋" w:eastAsia="仿宋_GB2312"/>
          <w:sz w:val="32"/>
          <w:szCs w:val="32"/>
        </w:rPr>
        <w:t>高。通过问卷调查，良好以上</w:t>
      </w:r>
      <w:r>
        <w:rPr>
          <w:rFonts w:hint="eastAsia" w:ascii="仿宋_GB2312" w:hAnsi="仿宋" w:eastAsia="仿宋_GB2312"/>
          <w:sz w:val="32"/>
          <w:szCs w:val="32"/>
        </w:rPr>
        <w:t>满意度</w:t>
      </w:r>
      <w:r>
        <w:rPr>
          <w:rFonts w:ascii="仿宋_GB2312" w:hAnsi="仿宋" w:eastAsia="仿宋_GB2312"/>
          <w:sz w:val="32"/>
          <w:szCs w:val="32"/>
        </w:rPr>
        <w:t>达到</w:t>
      </w:r>
      <w:r>
        <w:rPr>
          <w:rFonts w:hint="eastAsia" w:ascii="仿宋_GB2312" w:hAnsi="仿宋" w:eastAsia="仿宋_GB2312"/>
          <w:sz w:val="32"/>
          <w:szCs w:val="32"/>
        </w:rPr>
        <w:t>9</w:t>
      </w:r>
      <w:r>
        <w:rPr>
          <w:rFonts w:ascii="仿宋_GB2312" w:hAnsi="仿宋" w:eastAsia="仿宋_GB2312"/>
          <w:sz w:val="32"/>
          <w:szCs w:val="32"/>
        </w:rPr>
        <w:t>6%</w:t>
      </w:r>
      <w:r>
        <w:rPr>
          <w:rFonts w:hint="eastAsia" w:ascii="仿宋_GB2312" w:hAnsi="仿宋" w:eastAsia="仿宋_GB2312"/>
          <w:sz w:val="32"/>
          <w:szCs w:val="32"/>
        </w:rPr>
        <w:t>，</w:t>
      </w:r>
      <w:r>
        <w:rPr>
          <w:rFonts w:ascii="仿宋_GB2312" w:hAnsi="仿宋" w:eastAsia="仿宋_GB2312"/>
          <w:sz w:val="32"/>
          <w:szCs w:val="32"/>
        </w:rPr>
        <w:t>完成年度绩效目标</w:t>
      </w:r>
      <w:r>
        <w:rPr>
          <w:rFonts w:hint="eastAsia" w:ascii="仿宋_GB2312" w:hAnsi="仿宋" w:eastAsia="仿宋_GB2312"/>
          <w:sz w:val="32"/>
          <w:szCs w:val="32"/>
        </w:rPr>
        <w:t>。</w:t>
      </w:r>
    </w:p>
    <w:p>
      <w:pPr>
        <w:spacing w:line="560" w:lineRule="exact"/>
        <w:ind w:firstLine="707" w:firstLineChars="221"/>
        <w:rPr>
          <w:rFonts w:ascii="黑体" w:hAnsi="黑体" w:eastAsia="黑体"/>
          <w:sz w:val="32"/>
          <w:szCs w:val="32"/>
        </w:rPr>
      </w:pPr>
      <w:r>
        <w:rPr>
          <w:rFonts w:hint="eastAsia" w:ascii="黑体" w:hAnsi="黑体" w:eastAsia="黑体"/>
          <w:sz w:val="32"/>
          <w:szCs w:val="32"/>
        </w:rPr>
        <w:t>三</w:t>
      </w:r>
      <w:r>
        <w:rPr>
          <w:rFonts w:ascii="黑体" w:hAnsi="黑体" w:eastAsia="黑体"/>
          <w:sz w:val="32"/>
          <w:szCs w:val="32"/>
        </w:rPr>
        <w:t>、绩效自评</w:t>
      </w:r>
      <w:r>
        <w:rPr>
          <w:rFonts w:hint="eastAsia" w:ascii="黑体" w:hAnsi="黑体" w:eastAsia="黑体"/>
          <w:sz w:val="32"/>
          <w:szCs w:val="32"/>
        </w:rPr>
        <w:t>结论</w:t>
      </w:r>
    </w:p>
    <w:p>
      <w:pPr>
        <w:spacing w:line="560" w:lineRule="exact"/>
        <w:ind w:firstLine="707" w:firstLineChars="221"/>
        <w:rPr>
          <w:rFonts w:ascii="仿宋_GB2312" w:hAnsi="楷体" w:eastAsia="仿宋_GB2312"/>
          <w:sz w:val="32"/>
          <w:szCs w:val="32"/>
        </w:rPr>
      </w:pPr>
      <w:r>
        <w:rPr>
          <w:rFonts w:hint="eastAsia" w:ascii="仿宋_GB2312" w:hAnsi="楷体" w:eastAsia="仿宋_GB2312"/>
          <w:sz w:val="32"/>
          <w:szCs w:val="32"/>
        </w:rPr>
        <w:t>此次绩效自评结果主要以《转移支付区域（项目）绩效目标自评表》和《2022年彩票市场调控资金绩效自评报告》的形式体现，自评表及自评报告内容完整、权重合理、数据</w:t>
      </w:r>
      <w:r>
        <w:rPr>
          <w:rFonts w:hint="eastAsia" w:ascii="仿宋_GB2312" w:hAnsi="楷体" w:eastAsia="仿宋_GB2312"/>
          <w:sz w:val="32"/>
          <w:szCs w:val="32"/>
          <w:lang w:eastAsia="zh-CN"/>
        </w:rPr>
        <w:t>真实</w:t>
      </w:r>
      <w:r>
        <w:rPr>
          <w:rFonts w:hint="eastAsia" w:ascii="仿宋_GB2312" w:hAnsi="楷体" w:eastAsia="仿宋_GB2312"/>
          <w:sz w:val="32"/>
          <w:szCs w:val="32"/>
        </w:rPr>
        <w:t>、结果客观。</w:t>
      </w:r>
    </w:p>
    <w:p>
      <w:pPr>
        <w:spacing w:line="560" w:lineRule="exact"/>
        <w:ind w:firstLine="707" w:firstLineChars="221"/>
        <w:rPr>
          <w:rFonts w:ascii="仿宋_GB2312" w:hAnsi="楷体" w:eastAsia="仿宋_GB2312"/>
          <w:sz w:val="32"/>
          <w:szCs w:val="32"/>
        </w:rPr>
      </w:pPr>
      <w:r>
        <w:rPr>
          <w:rFonts w:hint="eastAsia" w:ascii="仿宋_GB2312" w:hAnsi="楷体" w:eastAsia="仿宋_GB2312"/>
          <w:sz w:val="32"/>
          <w:szCs w:val="32"/>
        </w:rPr>
        <w:t>市福彩中心高度重视绩效评价结果的应用工作，积极探索和建立与预算管理相结合的应用评价结果机制，将绩效自评结果作为完善政策和改进管理的重要依据，着力提高绩效意识和财政资金使用效益。2022年彩票市场调控资金绩效目标自评报告将报送市财政局，并按照相关要求依法予以公开，广泛接受社会监督。</w:t>
      </w:r>
    </w:p>
    <w:p>
      <w:pPr>
        <w:spacing w:line="560" w:lineRule="exact"/>
        <w:rPr>
          <w:rFonts w:hint="eastAsia" w:ascii="仿宋_GB2312" w:hAnsi="黑体" w:eastAsia="仿宋_GB2312"/>
          <w:sz w:val="32"/>
          <w:szCs w:val="32"/>
        </w:rPr>
      </w:pPr>
    </w:p>
    <w:sectPr>
      <w:footerReference r:id="rId3" w:type="default"/>
      <w:pgSz w:w="11906" w:h="16838"/>
      <w:pgMar w:top="1587"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dobe 黑体 Std R">
    <w:altName w:val="宋体"/>
    <w:panose1 w:val="00000000000000000000"/>
    <w:charset w:val="86"/>
    <w:family w:val="roman"/>
    <w:pitch w:val="default"/>
    <w:sig w:usb0="00000000" w:usb1="00000000" w:usb2="00000010" w:usb3="00000000" w:csb0="00040000" w:csb1="00000000"/>
  </w:font>
  <w:font w:name="Meiryo">
    <w:panose1 w:val="020B0604030504040204"/>
    <w:charset w:val="80"/>
    <w:family w:val="swiss"/>
    <w:pitch w:val="default"/>
    <w:sig w:usb0="E10102FF" w:usb1="EAC7FFFF" w:usb2="00010012" w:usb3="00000000" w:csb0="6002009F" w:csb1="DFD70000"/>
  </w:font>
  <w:font w:name="宋体-PUA">
    <w:altName w:val="华文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334267"/>
    </w:sdtPr>
    <w:sdtContent>
      <w:p>
        <w:pPr>
          <w:pStyle w:val="4"/>
          <w:jc w:val="center"/>
        </w:pPr>
        <w:r>
          <w:fldChar w:fldCharType="begin"/>
        </w:r>
        <w:r>
          <w:instrText xml:space="preserve">PAGE   \* MERGEFORMAT</w:instrText>
        </w:r>
        <w:r>
          <w:fldChar w:fldCharType="separate"/>
        </w:r>
        <w:r>
          <w:rPr>
            <w:lang w:val="zh-CN"/>
          </w:rPr>
          <w:t>-</w:t>
        </w:r>
        <w:r>
          <w:t xml:space="preserve"> 12 -</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79DE2"/>
    <w:multiLevelType w:val="singleLevel"/>
    <w:tmpl w:val="64379DE2"/>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5YzVkNTI2ODMwMDY1ZGNkZmY1ODk3MTgwMTMwMzMifQ=="/>
  </w:docVars>
  <w:rsids>
    <w:rsidRoot w:val="00EA3527"/>
    <w:rsid w:val="00014FBD"/>
    <w:rsid w:val="00027102"/>
    <w:rsid w:val="00081D83"/>
    <w:rsid w:val="000915BE"/>
    <w:rsid w:val="000D056D"/>
    <w:rsid w:val="000E7DE8"/>
    <w:rsid w:val="00110149"/>
    <w:rsid w:val="0011211B"/>
    <w:rsid w:val="00127412"/>
    <w:rsid w:val="00156327"/>
    <w:rsid w:val="001A0F89"/>
    <w:rsid w:val="00204D63"/>
    <w:rsid w:val="00210681"/>
    <w:rsid w:val="002404B0"/>
    <w:rsid w:val="00242301"/>
    <w:rsid w:val="00243CE3"/>
    <w:rsid w:val="00244CD7"/>
    <w:rsid w:val="00251FB4"/>
    <w:rsid w:val="00265ADF"/>
    <w:rsid w:val="002836DD"/>
    <w:rsid w:val="00290264"/>
    <w:rsid w:val="002C675D"/>
    <w:rsid w:val="003236F7"/>
    <w:rsid w:val="00347B22"/>
    <w:rsid w:val="003602D3"/>
    <w:rsid w:val="00366F15"/>
    <w:rsid w:val="003777AB"/>
    <w:rsid w:val="00396978"/>
    <w:rsid w:val="003D41B0"/>
    <w:rsid w:val="00402304"/>
    <w:rsid w:val="0041260C"/>
    <w:rsid w:val="00422270"/>
    <w:rsid w:val="0042249C"/>
    <w:rsid w:val="00422D15"/>
    <w:rsid w:val="0042325A"/>
    <w:rsid w:val="00444E0E"/>
    <w:rsid w:val="00450D9F"/>
    <w:rsid w:val="004555DF"/>
    <w:rsid w:val="00461A14"/>
    <w:rsid w:val="00461E50"/>
    <w:rsid w:val="004866E6"/>
    <w:rsid w:val="00496F03"/>
    <w:rsid w:val="004B473C"/>
    <w:rsid w:val="004B70C1"/>
    <w:rsid w:val="004C62E3"/>
    <w:rsid w:val="004D65DE"/>
    <w:rsid w:val="004E5C07"/>
    <w:rsid w:val="00500260"/>
    <w:rsid w:val="0050290D"/>
    <w:rsid w:val="00507C54"/>
    <w:rsid w:val="00520982"/>
    <w:rsid w:val="00526CC2"/>
    <w:rsid w:val="00540136"/>
    <w:rsid w:val="00540572"/>
    <w:rsid w:val="00545A1E"/>
    <w:rsid w:val="0054655B"/>
    <w:rsid w:val="00562596"/>
    <w:rsid w:val="005707EE"/>
    <w:rsid w:val="00577353"/>
    <w:rsid w:val="005918EE"/>
    <w:rsid w:val="00592364"/>
    <w:rsid w:val="00596D28"/>
    <w:rsid w:val="005A4645"/>
    <w:rsid w:val="005C7291"/>
    <w:rsid w:val="005E25A3"/>
    <w:rsid w:val="005E5A20"/>
    <w:rsid w:val="006174BF"/>
    <w:rsid w:val="0062222F"/>
    <w:rsid w:val="006575CC"/>
    <w:rsid w:val="00664C78"/>
    <w:rsid w:val="006814FB"/>
    <w:rsid w:val="006A630F"/>
    <w:rsid w:val="006B1FBF"/>
    <w:rsid w:val="006B36F1"/>
    <w:rsid w:val="006F07F2"/>
    <w:rsid w:val="00702CFC"/>
    <w:rsid w:val="00703F5D"/>
    <w:rsid w:val="00704A20"/>
    <w:rsid w:val="007225BF"/>
    <w:rsid w:val="007310F1"/>
    <w:rsid w:val="007314CD"/>
    <w:rsid w:val="007324B7"/>
    <w:rsid w:val="00752700"/>
    <w:rsid w:val="0077783C"/>
    <w:rsid w:val="007818F5"/>
    <w:rsid w:val="0079196E"/>
    <w:rsid w:val="00797518"/>
    <w:rsid w:val="007A5E15"/>
    <w:rsid w:val="007A6D51"/>
    <w:rsid w:val="007C63FA"/>
    <w:rsid w:val="007D3083"/>
    <w:rsid w:val="007D7CF6"/>
    <w:rsid w:val="007E1269"/>
    <w:rsid w:val="007E270D"/>
    <w:rsid w:val="0081071A"/>
    <w:rsid w:val="00812D05"/>
    <w:rsid w:val="008132A1"/>
    <w:rsid w:val="00825674"/>
    <w:rsid w:val="00877928"/>
    <w:rsid w:val="008B07D6"/>
    <w:rsid w:val="008B1FB9"/>
    <w:rsid w:val="008B2C26"/>
    <w:rsid w:val="008B7419"/>
    <w:rsid w:val="008D2EDD"/>
    <w:rsid w:val="008D6C2F"/>
    <w:rsid w:val="00934768"/>
    <w:rsid w:val="00940430"/>
    <w:rsid w:val="0095787C"/>
    <w:rsid w:val="009840A3"/>
    <w:rsid w:val="009E1560"/>
    <w:rsid w:val="009F3CA1"/>
    <w:rsid w:val="009F40A3"/>
    <w:rsid w:val="009F777D"/>
    <w:rsid w:val="00A04323"/>
    <w:rsid w:val="00A07976"/>
    <w:rsid w:val="00A132CF"/>
    <w:rsid w:val="00A26A94"/>
    <w:rsid w:val="00A362E4"/>
    <w:rsid w:val="00A37AF9"/>
    <w:rsid w:val="00A617C5"/>
    <w:rsid w:val="00A93F62"/>
    <w:rsid w:val="00AE2F5B"/>
    <w:rsid w:val="00AE35BA"/>
    <w:rsid w:val="00AF66C8"/>
    <w:rsid w:val="00AF7F7C"/>
    <w:rsid w:val="00B13236"/>
    <w:rsid w:val="00B16116"/>
    <w:rsid w:val="00B43AF5"/>
    <w:rsid w:val="00B72007"/>
    <w:rsid w:val="00BD7BB8"/>
    <w:rsid w:val="00BF395E"/>
    <w:rsid w:val="00BF3CD6"/>
    <w:rsid w:val="00C012AE"/>
    <w:rsid w:val="00C14CC2"/>
    <w:rsid w:val="00C262EE"/>
    <w:rsid w:val="00C42497"/>
    <w:rsid w:val="00C819FA"/>
    <w:rsid w:val="00CA77CE"/>
    <w:rsid w:val="00CE44A9"/>
    <w:rsid w:val="00CE4C5B"/>
    <w:rsid w:val="00CF7327"/>
    <w:rsid w:val="00CF76A9"/>
    <w:rsid w:val="00D1777F"/>
    <w:rsid w:val="00D36043"/>
    <w:rsid w:val="00D76DEA"/>
    <w:rsid w:val="00D93156"/>
    <w:rsid w:val="00DA0C82"/>
    <w:rsid w:val="00DC5BFC"/>
    <w:rsid w:val="00DD1806"/>
    <w:rsid w:val="00E03D86"/>
    <w:rsid w:val="00E04A29"/>
    <w:rsid w:val="00E23420"/>
    <w:rsid w:val="00E3546A"/>
    <w:rsid w:val="00E40125"/>
    <w:rsid w:val="00E43712"/>
    <w:rsid w:val="00E80873"/>
    <w:rsid w:val="00E80A3B"/>
    <w:rsid w:val="00E86CDB"/>
    <w:rsid w:val="00E93B34"/>
    <w:rsid w:val="00EA0510"/>
    <w:rsid w:val="00EA3527"/>
    <w:rsid w:val="00EB733F"/>
    <w:rsid w:val="00EC2375"/>
    <w:rsid w:val="00EE1234"/>
    <w:rsid w:val="00EF08B0"/>
    <w:rsid w:val="00EF4CF3"/>
    <w:rsid w:val="00F01180"/>
    <w:rsid w:val="00F547E8"/>
    <w:rsid w:val="00F61C99"/>
    <w:rsid w:val="00F66248"/>
    <w:rsid w:val="00F90247"/>
    <w:rsid w:val="00FA09E4"/>
    <w:rsid w:val="00FA6854"/>
    <w:rsid w:val="00FC592E"/>
    <w:rsid w:val="00FC61DC"/>
    <w:rsid w:val="03243BFA"/>
    <w:rsid w:val="09E55B66"/>
    <w:rsid w:val="0B0A18D7"/>
    <w:rsid w:val="0BBF636D"/>
    <w:rsid w:val="0D98311E"/>
    <w:rsid w:val="0E811339"/>
    <w:rsid w:val="129D6808"/>
    <w:rsid w:val="1C5C1847"/>
    <w:rsid w:val="32FA5ABC"/>
    <w:rsid w:val="35B04BF9"/>
    <w:rsid w:val="38637509"/>
    <w:rsid w:val="3B61689A"/>
    <w:rsid w:val="3BA36FBA"/>
    <w:rsid w:val="45147913"/>
    <w:rsid w:val="470048ED"/>
    <w:rsid w:val="4EB313F0"/>
    <w:rsid w:val="50623842"/>
    <w:rsid w:val="585F4D50"/>
    <w:rsid w:val="5D1D0737"/>
    <w:rsid w:val="67890173"/>
    <w:rsid w:val="6FA70D0D"/>
    <w:rsid w:val="700445E3"/>
    <w:rsid w:val="72143788"/>
    <w:rsid w:val="730F4FCE"/>
    <w:rsid w:val="73F30617"/>
    <w:rsid w:val="75785623"/>
    <w:rsid w:val="76771AFF"/>
    <w:rsid w:val="77DA7897"/>
    <w:rsid w:val="7E591D4C"/>
    <w:rsid w:val="7ED16817"/>
    <w:rsid w:val="7F0B089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link w:val="14"/>
    <w:qFormat/>
    <w:uiPriority w:val="99"/>
    <w:pPr>
      <w:ind w:left="569" w:leftChars="271" w:firstLine="560" w:firstLineChars="200"/>
    </w:pPr>
    <w:rPr>
      <w:kern w:val="0"/>
      <w:sz w:val="20"/>
      <w:szCs w:val="21"/>
    </w:rPr>
  </w:style>
  <w:style w:type="paragraph" w:styleId="3">
    <w:name w:val="Balloon Text"/>
    <w:basedOn w:val="1"/>
    <w:link w:val="12"/>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99"/>
    <w:rPr>
      <w:sz w:val="18"/>
      <w:szCs w:val="18"/>
    </w:rPr>
  </w:style>
  <w:style w:type="character" w:customStyle="1" w:styleId="9">
    <w:name w:val="页脚 Char"/>
    <w:basedOn w:val="6"/>
    <w:link w:val="4"/>
    <w:qFormat/>
    <w:uiPriority w:val="99"/>
    <w:rPr>
      <w:sz w:val="18"/>
      <w:szCs w:val="18"/>
    </w:rPr>
  </w:style>
  <w:style w:type="paragraph" w:customStyle="1" w:styleId="10">
    <w:name w:val="列出段落1"/>
    <w:basedOn w:val="1"/>
    <w:qFormat/>
    <w:uiPriority w:val="34"/>
    <w:pPr>
      <w:ind w:firstLine="420" w:firstLineChars="200"/>
    </w:pPr>
  </w:style>
  <w:style w:type="paragraph" w:customStyle="1" w:styleId="11">
    <w:name w:val="列出段落11"/>
    <w:basedOn w:val="1"/>
    <w:qFormat/>
    <w:uiPriority w:val="34"/>
    <w:pPr>
      <w:ind w:firstLine="420" w:firstLineChars="200"/>
    </w:pPr>
  </w:style>
  <w:style w:type="character" w:customStyle="1" w:styleId="12">
    <w:name w:val="批注框文本 Char"/>
    <w:basedOn w:val="6"/>
    <w:link w:val="3"/>
    <w:semiHidden/>
    <w:qFormat/>
    <w:uiPriority w:val="99"/>
    <w:rPr>
      <w:kern w:val="2"/>
      <w:sz w:val="18"/>
      <w:szCs w:val="18"/>
    </w:rPr>
  </w:style>
  <w:style w:type="character" w:customStyle="1" w:styleId="13">
    <w:name w:val="fontstyle01"/>
    <w:qFormat/>
    <w:uiPriority w:val="0"/>
    <w:rPr>
      <w:rFonts w:hint="eastAsia" w:ascii="仿宋_GB2312" w:eastAsia="仿宋_GB2312"/>
      <w:color w:val="000000"/>
      <w:sz w:val="32"/>
      <w:szCs w:val="32"/>
    </w:rPr>
  </w:style>
  <w:style w:type="character" w:customStyle="1" w:styleId="14">
    <w:name w:val="正文文本缩进 Char"/>
    <w:link w:val="2"/>
    <w:qFormat/>
    <w:uiPriority w:val="99"/>
    <w:rPr>
      <w:szCs w:val="21"/>
    </w:rPr>
  </w:style>
  <w:style w:type="character" w:customStyle="1" w:styleId="15">
    <w:name w:val="正文文本缩进 Char1"/>
    <w:basedOn w:val="6"/>
    <w:semiHidden/>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6189</Words>
  <Characters>6826</Characters>
  <Lines>49</Lines>
  <Paragraphs>13</Paragraphs>
  <TotalTime>0</TotalTime>
  <ScaleCrop>false</ScaleCrop>
  <LinksUpToDate>false</LinksUpToDate>
  <CharactersWithSpaces>6833</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2023-03-28T06:34:00Z</dcterms:created>
  <dc:creator>wangli</dc:creator>
  <cp:lastModifiedBy>lenovo</cp:lastModifiedBy>
  <dcterms:modified xsi:type="dcterms:W3CDTF">2023-08-16T06:06:38Z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30DBEE5DDF49459292811579641955D1_13</vt:lpwstr>
  </property>
</Properties>
</file>