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A3" w:rsidRPr="00E901F1" w:rsidRDefault="004F6AA3">
      <w:pPr>
        <w:spacing w:line="580" w:lineRule="exact"/>
        <w:jc w:val="center"/>
        <w:rPr>
          <w:rFonts w:ascii="方正小标宋简体" w:eastAsia="方正小标宋简体" w:hAnsi="黑体" w:cs="黑体"/>
          <w:sz w:val="44"/>
          <w:szCs w:val="44"/>
        </w:rPr>
      </w:pPr>
      <w:r w:rsidRPr="00E901F1">
        <w:rPr>
          <w:rFonts w:ascii="方正小标宋简体" w:eastAsia="方正小标宋简体" w:hAnsi="黑体" w:cs="黑体" w:hint="eastAsia"/>
          <w:sz w:val="44"/>
          <w:szCs w:val="44"/>
        </w:rPr>
        <w:t>北京市福利彩票发行中心</w:t>
      </w:r>
    </w:p>
    <w:p w:rsidR="00196BCB" w:rsidRPr="00E901F1" w:rsidRDefault="004F6AA3" w:rsidP="004F6AA3">
      <w:pPr>
        <w:spacing w:line="580" w:lineRule="exact"/>
        <w:jc w:val="center"/>
        <w:rPr>
          <w:rFonts w:ascii="方正小标宋简体" w:eastAsia="方正小标宋简体" w:hAnsi="黑体" w:cs="黑体"/>
          <w:sz w:val="44"/>
          <w:szCs w:val="44"/>
        </w:rPr>
      </w:pPr>
      <w:r w:rsidRPr="00E901F1">
        <w:rPr>
          <w:rFonts w:ascii="方正小标宋简体" w:eastAsia="方正小标宋简体" w:hAnsi="黑体" w:cs="黑体" w:hint="eastAsia"/>
          <w:sz w:val="44"/>
          <w:szCs w:val="44"/>
        </w:rPr>
        <w:t>2021年度</w:t>
      </w:r>
      <w:r w:rsidR="00120DCE" w:rsidRPr="00E901F1">
        <w:rPr>
          <w:rFonts w:ascii="方正小标宋简体" w:eastAsia="方正小标宋简体" w:hAnsi="黑体" w:cs="黑体" w:hint="eastAsia"/>
          <w:sz w:val="44"/>
          <w:szCs w:val="44"/>
        </w:rPr>
        <w:t>部门</w:t>
      </w:r>
      <w:r w:rsidRPr="00E901F1">
        <w:rPr>
          <w:rFonts w:ascii="方正小标宋简体" w:eastAsia="方正小标宋简体" w:hAnsi="黑体" w:cs="黑体" w:hint="eastAsia"/>
          <w:sz w:val="44"/>
          <w:szCs w:val="44"/>
        </w:rPr>
        <w:t>整体绩效评价报告</w:t>
      </w:r>
    </w:p>
    <w:p w:rsidR="001C2A30" w:rsidRDefault="001C2A30">
      <w:pPr>
        <w:spacing w:line="580" w:lineRule="exact"/>
        <w:ind w:firstLineChars="200" w:firstLine="560"/>
        <w:rPr>
          <w:rFonts w:ascii="黑体" w:eastAsia="黑体" w:hAnsi="黑体" w:cs="宋体"/>
          <w:color w:val="000000"/>
          <w:kern w:val="0"/>
          <w:sz w:val="28"/>
          <w:szCs w:val="28"/>
        </w:rPr>
      </w:pPr>
    </w:p>
    <w:p w:rsidR="00196BCB" w:rsidRPr="001C2A30" w:rsidRDefault="001C2A30">
      <w:pPr>
        <w:spacing w:line="580" w:lineRule="exact"/>
        <w:ind w:firstLineChars="200" w:firstLine="640"/>
        <w:rPr>
          <w:rFonts w:ascii="黑体" w:eastAsia="黑体" w:hAnsi="黑体" w:cs="仿宋_GB2312"/>
          <w:color w:val="000000"/>
          <w:kern w:val="0"/>
          <w:sz w:val="32"/>
          <w:szCs w:val="32"/>
        </w:rPr>
      </w:pPr>
      <w:r w:rsidRPr="001C2A30">
        <w:rPr>
          <w:rFonts w:ascii="黑体" w:eastAsia="黑体" w:hAnsi="黑体" w:cs="宋体" w:hint="eastAsia"/>
          <w:color w:val="000000"/>
          <w:kern w:val="0"/>
          <w:sz w:val="32"/>
          <w:szCs w:val="32"/>
        </w:rPr>
        <w:t>一</w:t>
      </w:r>
      <w:r w:rsidRPr="001C2A30">
        <w:rPr>
          <w:rFonts w:ascii="黑体" w:eastAsia="黑体" w:hAnsi="黑体" w:cs="宋体"/>
          <w:color w:val="000000"/>
          <w:kern w:val="0"/>
          <w:sz w:val="32"/>
          <w:szCs w:val="32"/>
        </w:rPr>
        <w:t>、</w:t>
      </w:r>
      <w:r w:rsidR="004F6AA3" w:rsidRPr="001C2A30">
        <w:rPr>
          <w:rFonts w:ascii="黑体" w:eastAsia="黑体" w:hAnsi="黑体" w:cs="仿宋_GB2312" w:hint="eastAsia"/>
          <w:color w:val="000000"/>
          <w:kern w:val="0"/>
          <w:sz w:val="32"/>
          <w:szCs w:val="32"/>
        </w:rPr>
        <w:t>部门概况</w:t>
      </w:r>
    </w:p>
    <w:p w:rsidR="00196BCB" w:rsidRPr="001C2A30" w:rsidRDefault="004F138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F6AA3" w:rsidRPr="001C2A30">
        <w:rPr>
          <w:rFonts w:ascii="仿宋_GB2312" w:eastAsia="仿宋_GB2312" w:hAnsi="仿宋_GB2312" w:cs="仿宋_GB2312" w:hint="eastAsia"/>
          <w:sz w:val="32"/>
          <w:szCs w:val="32"/>
        </w:rPr>
        <w:t>机构设置及职责工作任务情况</w:t>
      </w:r>
    </w:p>
    <w:p w:rsidR="00196BCB" w:rsidRPr="001C2A30" w:rsidRDefault="004F6AA3">
      <w:pPr>
        <w:spacing w:line="580" w:lineRule="exact"/>
        <w:ind w:firstLineChars="200" w:firstLine="640"/>
        <w:rPr>
          <w:rFonts w:ascii="仿宋_GB2312" w:eastAsia="仿宋_GB2312"/>
          <w:sz w:val="32"/>
          <w:szCs w:val="32"/>
        </w:rPr>
      </w:pPr>
      <w:r w:rsidRPr="001C2A30">
        <w:rPr>
          <w:rFonts w:ascii="仿宋_GB2312" w:eastAsia="仿宋_GB2312" w:hAnsi="仿宋_GB2312" w:cs="仿宋_GB2312" w:hint="eastAsia"/>
          <w:sz w:val="32"/>
          <w:szCs w:val="32"/>
        </w:rPr>
        <w:t>北京市福利彩票发行中心（以下简称“市福彩中心”）为财政补助（公益二类）事业单位，部门事业编制80人，实有人数68人。下设15个部门，分别为办公室、资金管理部、市场管理一部、市场管理二部、市场管理三部、技术管理部、项目管理部、组织人事部、后勤和资产管理部、区域销售一部、区域销售二部、区域销售三部、区域销售四部、区域销售五部、区域销售六部。市福彩中心是主要负责北京市福利彩票的销售、管理和资金结算的机构。具体包括：按照中国福利彩票发行管理中心有关福利彩票发行、销售和中奖规则的规定，在北京市销售福利彩票，并组织、检查、监督全市网点的销售活动，按规定归集和上缴彩票公益金和销售机构业务费。</w:t>
      </w:r>
    </w:p>
    <w:p w:rsidR="00196BCB" w:rsidRPr="001C2A30" w:rsidRDefault="004F138A" w:rsidP="004F138A">
      <w:pPr>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F6AA3" w:rsidRPr="001C2A30">
        <w:rPr>
          <w:rFonts w:ascii="仿宋_GB2312" w:eastAsia="仿宋_GB2312" w:hAnsi="仿宋_GB2312" w:cs="仿宋_GB2312" w:hint="eastAsia"/>
          <w:sz w:val="32"/>
          <w:szCs w:val="32"/>
        </w:rPr>
        <w:t>部门整体绩效目标设立情况</w:t>
      </w:r>
    </w:p>
    <w:p w:rsidR="00196BCB" w:rsidRPr="001C2A30" w:rsidRDefault="004F6AA3">
      <w:pPr>
        <w:spacing w:line="580" w:lineRule="exact"/>
        <w:ind w:firstLineChars="200" w:firstLine="64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sz w:val="32"/>
          <w:szCs w:val="32"/>
        </w:rPr>
        <w:t>经测算，预估 2021年全年福利彩票销售额29.40亿元；预计筹集市级公益金5亿元，专项用于社会福利等公益事业的资金支持。</w:t>
      </w:r>
    </w:p>
    <w:p w:rsidR="00196BCB" w:rsidRPr="007F07A8" w:rsidRDefault="007F07A8">
      <w:pPr>
        <w:spacing w:line="580" w:lineRule="exact"/>
        <w:ind w:firstLineChars="200" w:firstLine="640"/>
        <w:rPr>
          <w:rFonts w:ascii="黑体" w:eastAsia="黑体" w:hAnsi="黑体" w:cs="宋体"/>
          <w:color w:val="000000"/>
          <w:kern w:val="0"/>
          <w:sz w:val="32"/>
          <w:szCs w:val="32"/>
        </w:rPr>
      </w:pPr>
      <w:r w:rsidRPr="007F07A8">
        <w:rPr>
          <w:rFonts w:ascii="黑体" w:eastAsia="黑体" w:hAnsi="黑体" w:cs="宋体" w:hint="eastAsia"/>
          <w:color w:val="000000"/>
          <w:kern w:val="0"/>
          <w:sz w:val="32"/>
          <w:szCs w:val="32"/>
        </w:rPr>
        <w:t>二</w:t>
      </w:r>
      <w:r w:rsidRPr="007F07A8">
        <w:rPr>
          <w:rFonts w:ascii="黑体" w:eastAsia="黑体" w:hAnsi="黑体" w:cs="宋体"/>
          <w:color w:val="000000"/>
          <w:kern w:val="0"/>
          <w:sz w:val="32"/>
          <w:szCs w:val="32"/>
        </w:rPr>
        <w:t>、</w:t>
      </w:r>
      <w:r w:rsidR="004F6AA3" w:rsidRPr="007F07A8">
        <w:rPr>
          <w:rFonts w:ascii="黑体" w:eastAsia="黑体" w:hAnsi="黑体" w:cs="宋体" w:hint="eastAsia"/>
          <w:color w:val="000000"/>
          <w:kern w:val="0"/>
          <w:sz w:val="32"/>
          <w:szCs w:val="32"/>
        </w:rPr>
        <w:t>当年预算执行情况</w:t>
      </w:r>
    </w:p>
    <w:p w:rsidR="00196BCB" w:rsidRPr="001C2A30" w:rsidRDefault="004F6AA3">
      <w:pPr>
        <w:spacing w:line="580" w:lineRule="exact"/>
        <w:ind w:firstLineChars="200" w:firstLine="64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2021年部门整体预算数14700.08万元，其中，基本支出</w:t>
      </w:r>
      <w:r w:rsidRPr="001C2A30">
        <w:rPr>
          <w:rFonts w:ascii="仿宋_GB2312" w:eastAsia="仿宋_GB2312" w:hAnsi="仿宋_GB2312" w:cs="仿宋_GB2312" w:hint="eastAsia"/>
          <w:color w:val="000000"/>
          <w:kern w:val="0"/>
          <w:sz w:val="32"/>
          <w:szCs w:val="32"/>
        </w:rPr>
        <w:lastRenderedPageBreak/>
        <w:t>预算数2210.20万元，项目支出预算数12489.88万元。资金总体支出14042.25万元，其中，基本支出2170.91万元，项目支出11871.34万元。预算执行率为95.52%。</w:t>
      </w:r>
    </w:p>
    <w:p w:rsidR="00196BCB" w:rsidRPr="005A1B62" w:rsidRDefault="005A1B62" w:rsidP="005A1B62">
      <w:pPr>
        <w:spacing w:line="580" w:lineRule="exact"/>
        <w:ind w:firstLineChars="200" w:firstLine="640"/>
        <w:rPr>
          <w:rFonts w:ascii="黑体" w:eastAsia="黑体" w:hAnsi="黑体" w:cs="宋体"/>
          <w:color w:val="000000"/>
          <w:kern w:val="0"/>
          <w:sz w:val="32"/>
          <w:szCs w:val="32"/>
        </w:rPr>
      </w:pPr>
      <w:r w:rsidRPr="005A1B62">
        <w:rPr>
          <w:rFonts w:ascii="黑体" w:eastAsia="黑体" w:hAnsi="黑体" w:cs="宋体" w:hint="eastAsia"/>
          <w:color w:val="000000"/>
          <w:kern w:val="0"/>
          <w:sz w:val="32"/>
          <w:szCs w:val="32"/>
        </w:rPr>
        <w:t>三、</w:t>
      </w:r>
      <w:r w:rsidR="004F6AA3" w:rsidRPr="005A1B62">
        <w:rPr>
          <w:rFonts w:ascii="黑体" w:eastAsia="黑体" w:hAnsi="黑体" w:cs="宋体" w:hint="eastAsia"/>
          <w:color w:val="000000"/>
          <w:kern w:val="0"/>
          <w:sz w:val="32"/>
          <w:szCs w:val="32"/>
        </w:rPr>
        <w:t>整体绩效目标实现情况</w:t>
      </w:r>
    </w:p>
    <w:p w:rsidR="00196BCB" w:rsidRPr="001C2A30" w:rsidRDefault="005A1B62">
      <w:pPr>
        <w:spacing w:line="580" w:lineRule="exact"/>
        <w:ind w:leftChars="50" w:left="10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F6AA3" w:rsidRPr="001C2A30">
        <w:rPr>
          <w:rFonts w:ascii="仿宋_GB2312" w:eastAsia="仿宋_GB2312" w:hAnsi="仿宋_GB2312" w:cs="仿宋_GB2312" w:hint="eastAsia"/>
          <w:sz w:val="32"/>
          <w:szCs w:val="32"/>
        </w:rPr>
        <w:t>产出完成情况分析</w:t>
      </w:r>
    </w:p>
    <w:p w:rsidR="00196BCB" w:rsidRPr="001C2A30" w:rsidRDefault="005A1B62">
      <w:pPr>
        <w:pStyle w:val="a0"/>
        <w:ind w:firstLine="640"/>
        <w:rPr>
          <w:rFonts w:ascii="仿宋_GB2312" w:eastAsia="仿宋_GB2312" w:hAnsi="仿宋_GB2312" w:cs="仿宋_GB2312"/>
          <w:color w:val="000000"/>
          <w:kern w:val="0"/>
          <w:sz w:val="32"/>
          <w:szCs w:val="32"/>
        </w:rPr>
      </w:pPr>
      <w:r w:rsidRPr="000F7B04">
        <w:rPr>
          <w:rFonts w:ascii="仿宋_GB2312" w:eastAsia="仿宋_GB2312" w:hAnsi="Times New Roman" w:cs="Times New Roman" w:hint="eastAsia"/>
          <w:sz w:val="32"/>
          <w:szCs w:val="32"/>
        </w:rPr>
        <w:t>1</w:t>
      </w:r>
      <w:r w:rsidRPr="000F7B04">
        <w:rPr>
          <w:rFonts w:ascii="仿宋_GB2312" w:eastAsia="仿宋_GB2312" w:hAnsi="Times New Roman" w:cs="Times New Roman"/>
          <w:sz w:val="32"/>
          <w:szCs w:val="32"/>
        </w:rPr>
        <w:t>.</w:t>
      </w:r>
      <w:r w:rsidR="004F6AA3" w:rsidRPr="001C2A30">
        <w:rPr>
          <w:rFonts w:ascii="仿宋_GB2312" w:eastAsia="仿宋_GB2312" w:hAnsi="仿宋_GB2312" w:cs="仿宋_GB2312" w:hint="eastAsia"/>
          <w:color w:val="000000"/>
          <w:kern w:val="0"/>
          <w:sz w:val="32"/>
          <w:szCs w:val="32"/>
        </w:rPr>
        <w:t>产出数量</w:t>
      </w:r>
    </w:p>
    <w:p w:rsidR="00196BCB" w:rsidRPr="001C2A30" w:rsidRDefault="004F6AA3">
      <w:pPr>
        <w:pStyle w:val="a0"/>
        <w:ind w:firstLine="640"/>
        <w:rPr>
          <w:rFonts w:ascii="仿宋_GB2312" w:eastAsia="仿宋_GB2312" w:hAnsi="Times New Roman" w:cs="Times New Roman"/>
          <w:sz w:val="32"/>
          <w:szCs w:val="32"/>
        </w:rPr>
      </w:pPr>
      <w:r w:rsidRPr="001C2A30">
        <w:rPr>
          <w:rFonts w:ascii="仿宋_GB2312" w:eastAsia="仿宋_GB2312" w:hAnsi="仿宋_GB2312" w:cs="仿宋_GB2312" w:hint="eastAsia"/>
          <w:color w:val="000000"/>
          <w:kern w:val="0"/>
          <w:sz w:val="32"/>
          <w:szCs w:val="32"/>
        </w:rPr>
        <w:t>彩票销售额。</w:t>
      </w:r>
      <w:r w:rsidRPr="000F7B04">
        <w:rPr>
          <w:rFonts w:ascii="仿宋_GB2312" w:eastAsia="仿宋_GB2312" w:hAnsi="Times New Roman" w:cs="Times New Roman" w:hint="eastAsia"/>
          <w:sz w:val="32"/>
          <w:szCs w:val="32"/>
        </w:rPr>
        <w:t>2021</w:t>
      </w:r>
      <w:r w:rsidRPr="001C2A30">
        <w:rPr>
          <w:rFonts w:ascii="仿宋_GB2312" w:eastAsia="仿宋_GB2312" w:hAnsi="仿宋_GB2312" w:cs="仿宋_GB2312" w:hint="eastAsia"/>
          <w:color w:val="000000"/>
          <w:kern w:val="0"/>
          <w:sz w:val="32"/>
          <w:szCs w:val="32"/>
        </w:rPr>
        <w:t>年全市福彩销量</w:t>
      </w:r>
      <w:r w:rsidRPr="001C2A30">
        <w:rPr>
          <w:rFonts w:ascii="仿宋_GB2312" w:eastAsia="仿宋_GB2312" w:hAnsi="Times New Roman" w:cs="Times New Roman" w:hint="eastAsia"/>
          <w:sz w:val="32"/>
          <w:szCs w:val="32"/>
        </w:rPr>
        <w:t>35.81亿元，预估销量29.40亿元，完成率为121.80%。</w:t>
      </w:r>
    </w:p>
    <w:p w:rsidR="00196BCB" w:rsidRPr="001C2A30" w:rsidRDefault="004F6AA3">
      <w:pPr>
        <w:pStyle w:val="a0"/>
        <w:ind w:firstLine="640"/>
        <w:rPr>
          <w:rFonts w:ascii="仿宋_GB2312" w:eastAsia="仿宋_GB2312" w:hAnsi="Times New Roman" w:cs="Times New Roman"/>
          <w:sz w:val="32"/>
          <w:szCs w:val="32"/>
        </w:rPr>
      </w:pPr>
      <w:r w:rsidRPr="001C2A30">
        <w:rPr>
          <w:rFonts w:ascii="仿宋_GB2312" w:eastAsia="仿宋_GB2312" w:hAnsi="Times New Roman" w:cs="Times New Roman" w:hint="eastAsia"/>
          <w:sz w:val="32"/>
          <w:szCs w:val="32"/>
        </w:rPr>
        <w:t>公益金筹集。2021年福彩销售筹集市级公益金5.97亿元，预估筹集市级公益金5亿元，完成率为119.40%。</w:t>
      </w:r>
    </w:p>
    <w:p w:rsidR="00196BCB" w:rsidRPr="001C2A30" w:rsidRDefault="004F6AA3">
      <w:pPr>
        <w:pStyle w:val="a0"/>
        <w:ind w:firstLine="640"/>
        <w:rPr>
          <w:rFonts w:ascii="仿宋_GB2312" w:eastAsia="仿宋_GB2312" w:hAnsi="Times New Roman" w:cs="Times New Roman"/>
          <w:sz w:val="32"/>
          <w:szCs w:val="32"/>
        </w:rPr>
      </w:pPr>
      <w:r w:rsidRPr="001C2A30">
        <w:rPr>
          <w:rFonts w:ascii="仿宋_GB2312" w:eastAsia="仿宋_GB2312" w:hAnsi="Times New Roman" w:cs="Times New Roman" w:hint="eastAsia"/>
          <w:sz w:val="32"/>
          <w:szCs w:val="32"/>
        </w:rPr>
        <w:t>业务费收入。2021年市福彩中心筹集本级业务费收入1.61亿元，预估筹集本级业务费1.40亿元，完成率为115%。</w:t>
      </w:r>
    </w:p>
    <w:p w:rsidR="00196BCB" w:rsidRPr="001C2A30" w:rsidRDefault="004F6AA3">
      <w:pPr>
        <w:spacing w:line="580" w:lineRule="exact"/>
        <w:ind w:leftChars="50" w:left="105" w:firstLineChars="150" w:firstLine="480"/>
        <w:rPr>
          <w:rFonts w:ascii="仿宋_GB2312" w:eastAsia="仿宋_GB2312" w:hAnsi="仿宋_GB2312" w:cs="仿宋_GB2312"/>
          <w:color w:val="000000"/>
          <w:kern w:val="0"/>
          <w:sz w:val="32"/>
          <w:szCs w:val="32"/>
        </w:rPr>
      </w:pPr>
      <w:r w:rsidRPr="001C2A30">
        <w:rPr>
          <w:rFonts w:ascii="仿宋_GB2312" w:eastAsia="仿宋_GB2312" w:hAnsi="Times New Roman" w:cs="Times New Roman" w:hint="eastAsia"/>
          <w:sz w:val="32"/>
          <w:szCs w:val="32"/>
        </w:rPr>
        <w:t>销售站数量。2021年全市新增销售站点141个，年底全市站点总数达到 2522个，增长率为5.92%。</w:t>
      </w:r>
    </w:p>
    <w:p w:rsidR="00196BCB" w:rsidRPr="001C2A30" w:rsidRDefault="005A1B62" w:rsidP="005A1B62">
      <w:pPr>
        <w:pStyle w:val="a0"/>
        <w:ind w:left="640" w:firstLineChars="0" w:firstLine="0"/>
        <w:rPr>
          <w:rFonts w:ascii="仿宋_GB2312" w:eastAsia="仿宋_GB2312" w:hAnsi="仿宋_GB2312" w:cs="仿宋_GB2312"/>
          <w:color w:val="000000"/>
          <w:kern w:val="0"/>
          <w:sz w:val="32"/>
          <w:szCs w:val="32"/>
        </w:rPr>
      </w:pPr>
      <w:r w:rsidRPr="000F7B04">
        <w:rPr>
          <w:rFonts w:ascii="仿宋_GB2312" w:eastAsia="仿宋_GB2312" w:hAnsi="Times New Roman" w:cs="Times New Roman" w:hint="eastAsia"/>
          <w:sz w:val="32"/>
          <w:szCs w:val="32"/>
        </w:rPr>
        <w:t>2.</w:t>
      </w:r>
      <w:r w:rsidR="004F6AA3" w:rsidRPr="001C2A30">
        <w:rPr>
          <w:rFonts w:ascii="仿宋_GB2312" w:eastAsia="仿宋_GB2312" w:hAnsi="仿宋_GB2312" w:cs="仿宋_GB2312" w:hint="eastAsia"/>
          <w:color w:val="000000"/>
          <w:kern w:val="0"/>
          <w:sz w:val="32"/>
          <w:szCs w:val="32"/>
        </w:rPr>
        <w:t>产出质量</w:t>
      </w:r>
    </w:p>
    <w:p w:rsidR="00196BCB" w:rsidRPr="001C2A30" w:rsidRDefault="004F6AA3">
      <w:pPr>
        <w:pStyle w:val="a0"/>
        <w:ind w:firstLineChars="0" w:firstLine="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销售市场管理安全有序。根据福彩体制改革要求和事业单位改革安排，成立</w:t>
      </w:r>
      <w:r w:rsidRPr="001C2A30">
        <w:rPr>
          <w:rFonts w:ascii="仿宋_GB2312" w:eastAsia="仿宋_GB2312" w:hAnsi="Times New Roman" w:cs="Times New Roman" w:hint="eastAsia"/>
          <w:sz w:val="32"/>
          <w:szCs w:val="32"/>
        </w:rPr>
        <w:t>6</w:t>
      </w:r>
      <w:r w:rsidRPr="001C2A30">
        <w:rPr>
          <w:rFonts w:ascii="仿宋_GB2312" w:eastAsia="仿宋_GB2312" w:hAnsi="仿宋_GB2312" w:cs="仿宋_GB2312" w:hint="eastAsia"/>
          <w:color w:val="000000"/>
          <w:kern w:val="0"/>
          <w:sz w:val="32"/>
          <w:szCs w:val="32"/>
        </w:rPr>
        <w:t>个区域销售部全面接管全市福彩销售站，全面提升销售服务管理效能，构建上下贯通的综合管理体系。开展多轮次销售站巡查，加大安全巡查工作力度，全年累计巡查站点</w:t>
      </w:r>
      <w:r w:rsidRPr="001C2A30">
        <w:rPr>
          <w:rFonts w:ascii="仿宋_GB2312" w:eastAsia="仿宋_GB2312" w:hAnsi="Times New Roman" w:cs="Times New Roman" w:hint="eastAsia"/>
          <w:sz w:val="32"/>
          <w:szCs w:val="32"/>
        </w:rPr>
        <w:t>2.5</w:t>
      </w:r>
      <w:r w:rsidRPr="001C2A30">
        <w:rPr>
          <w:rFonts w:ascii="仿宋_GB2312" w:eastAsia="仿宋_GB2312" w:hAnsi="仿宋_GB2312" w:cs="仿宋_GB2312" w:hint="eastAsia"/>
          <w:color w:val="000000"/>
          <w:kern w:val="0"/>
          <w:sz w:val="32"/>
          <w:szCs w:val="32"/>
        </w:rPr>
        <w:t>万余次，确保行业新冠肺炎疫情零感染，无安全事故发生。</w:t>
      </w:r>
    </w:p>
    <w:p w:rsidR="00196BCB" w:rsidRPr="001C2A30" w:rsidRDefault="004F6AA3">
      <w:pPr>
        <w:pStyle w:val="a0"/>
        <w:ind w:firstLineChars="0" w:firstLine="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市场开拓力度进一步加大。全年新增</w:t>
      </w:r>
      <w:r w:rsidRPr="001C2A30">
        <w:rPr>
          <w:rFonts w:ascii="仿宋_GB2312" w:eastAsia="仿宋_GB2312" w:hAnsi="Times New Roman" w:cs="Times New Roman" w:hint="eastAsia"/>
          <w:sz w:val="32"/>
          <w:szCs w:val="32"/>
        </w:rPr>
        <w:t>141个销售网点，3</w:t>
      </w:r>
      <w:r w:rsidRPr="001C2A30">
        <w:rPr>
          <w:rFonts w:ascii="仿宋_GB2312" w:eastAsia="仿宋_GB2312" w:hAnsi="仿宋_GB2312" w:cs="仿宋_GB2312" w:hint="eastAsia"/>
          <w:color w:val="000000"/>
          <w:kern w:val="0"/>
          <w:sz w:val="32"/>
          <w:szCs w:val="32"/>
        </w:rPr>
        <w:lastRenderedPageBreak/>
        <w:t>家旗舰店正式开始运营，探索便捷式彩票销售终端，完成与多点、吉野家等连锁品牌的合作营销，拓展商业与彩票兼营发展路径。</w:t>
      </w:r>
    </w:p>
    <w:p w:rsidR="00196BCB" w:rsidRPr="001C2A30" w:rsidRDefault="004F6AA3">
      <w:pPr>
        <w:pStyle w:val="a0"/>
        <w:ind w:firstLineChars="0" w:firstLine="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营销活动助推销量增长。先后开展即开票营销活动</w:t>
      </w:r>
      <w:r w:rsidRPr="001C2A30">
        <w:rPr>
          <w:rFonts w:ascii="仿宋_GB2312" w:eastAsia="仿宋_GB2312" w:hAnsi="Times New Roman" w:cs="Times New Roman" w:hint="eastAsia"/>
          <w:sz w:val="32"/>
          <w:szCs w:val="32"/>
        </w:rPr>
        <w:t>3次，电脑票营销活动4次</w:t>
      </w:r>
      <w:r w:rsidRPr="001C2A30">
        <w:rPr>
          <w:rFonts w:ascii="仿宋_GB2312" w:eastAsia="仿宋_GB2312" w:hAnsi="仿宋_GB2312" w:cs="仿宋_GB2312" w:hint="eastAsia"/>
          <w:color w:val="000000"/>
          <w:kern w:val="0"/>
          <w:sz w:val="32"/>
          <w:szCs w:val="32"/>
        </w:rPr>
        <w:t>，创新采用线上线下直播互动、在紫竹院公园探索小卖场等营销方式，在提升福彩销量的同时，极大激发了销售站及彩民参与热情。</w:t>
      </w:r>
    </w:p>
    <w:p w:rsidR="00196BCB" w:rsidRPr="001C2A30" w:rsidRDefault="004F6AA3">
      <w:pPr>
        <w:pStyle w:val="a0"/>
        <w:ind w:firstLineChars="0" w:firstLine="0"/>
        <w:rPr>
          <w:rFonts w:ascii="仿宋_GB2312" w:eastAsia="仿宋_GB2312" w:hAnsi="Times New Roman" w:cs="Times New Roman"/>
          <w:sz w:val="32"/>
          <w:szCs w:val="32"/>
        </w:rPr>
      </w:pPr>
      <w:r w:rsidRPr="001C2A30">
        <w:rPr>
          <w:rFonts w:ascii="仿宋_GB2312" w:eastAsia="仿宋_GB2312" w:hAnsi="仿宋_GB2312" w:cs="仿宋_GB2312" w:hint="eastAsia"/>
          <w:color w:val="000000"/>
          <w:kern w:val="0"/>
          <w:sz w:val="32"/>
          <w:szCs w:val="32"/>
        </w:rPr>
        <w:t xml:space="preserve">    即开票游戏市场推广成效显著。根据即开票调研情况调整库房存储安排，下调即开票起订标准至</w:t>
      </w:r>
      <w:r w:rsidRPr="001C2A30">
        <w:rPr>
          <w:rFonts w:ascii="仿宋_GB2312" w:eastAsia="仿宋_GB2312" w:hAnsi="Times New Roman" w:cs="Times New Roman" w:hint="eastAsia"/>
          <w:sz w:val="32"/>
          <w:szCs w:val="32"/>
        </w:rPr>
        <w:t>5本，丰富在售即开票种类至15个，规范即开票游戏申领及上线流程，最大限度为满足市场需求提供帮助，全年即开票销量6.35亿元，较2019年3.96亿元上升60.35%。</w:t>
      </w:r>
    </w:p>
    <w:p w:rsidR="00196BCB" w:rsidRPr="001C2A30" w:rsidRDefault="004F6AA3">
      <w:pPr>
        <w:pStyle w:val="a0"/>
        <w:ind w:firstLineChars="0" w:firstLine="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福彩品牌影响力进一步提升。完成37部宣传片及配套资料制作，户外电视媒体平台播出累计</w:t>
      </w:r>
      <w:r w:rsidRPr="001C2A30">
        <w:rPr>
          <w:rFonts w:ascii="仿宋_GB2312" w:eastAsia="仿宋_GB2312" w:hAnsi="Times New Roman" w:cs="Times New Roman" w:hint="eastAsia"/>
          <w:sz w:val="32"/>
          <w:szCs w:val="32"/>
        </w:rPr>
        <w:t>1.7</w:t>
      </w:r>
      <w:r w:rsidRPr="001C2A30">
        <w:rPr>
          <w:rFonts w:ascii="仿宋_GB2312" w:eastAsia="仿宋_GB2312" w:hAnsi="仿宋_GB2312" w:cs="仿宋_GB2312" w:hint="eastAsia"/>
          <w:color w:val="000000"/>
          <w:kern w:val="0"/>
          <w:sz w:val="32"/>
          <w:szCs w:val="32"/>
        </w:rPr>
        <w:t>万分钟，新增地铁扶梯海报和</w:t>
      </w:r>
      <w:r w:rsidRPr="001C2A30">
        <w:rPr>
          <w:rFonts w:ascii="仿宋_GB2312" w:eastAsia="仿宋_GB2312" w:hAnsi="Times New Roman" w:cs="Times New Roman" w:hint="eastAsia"/>
          <w:sz w:val="32"/>
          <w:szCs w:val="32"/>
        </w:rPr>
        <w:t>FM103.9</w:t>
      </w:r>
      <w:r w:rsidRPr="001C2A30">
        <w:rPr>
          <w:rFonts w:ascii="仿宋_GB2312" w:eastAsia="仿宋_GB2312" w:hAnsi="仿宋_GB2312" w:cs="仿宋_GB2312" w:hint="eastAsia"/>
          <w:color w:val="000000"/>
          <w:kern w:val="0"/>
          <w:sz w:val="32"/>
          <w:szCs w:val="32"/>
        </w:rPr>
        <w:t>交通广播频道广告投放渠道，宣传公益宗旨，提供福彩资讯。</w:t>
      </w:r>
    </w:p>
    <w:p w:rsidR="00196BCB" w:rsidRPr="001C2A30" w:rsidRDefault="004F6AA3">
      <w:pPr>
        <w:pStyle w:val="a0"/>
        <w:ind w:firstLineChars="0" w:firstLine="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销售系统稳定运转。全年全天监控彩票销售系统运转情况，维修销售设备</w:t>
      </w:r>
      <w:r w:rsidRPr="001C2A30">
        <w:rPr>
          <w:rFonts w:ascii="仿宋_GB2312" w:eastAsia="仿宋_GB2312" w:hAnsi="Times New Roman" w:cs="Times New Roman" w:hint="eastAsia"/>
          <w:sz w:val="32"/>
          <w:szCs w:val="32"/>
        </w:rPr>
        <w:t>1695</w:t>
      </w:r>
      <w:r w:rsidRPr="001C2A30">
        <w:rPr>
          <w:rFonts w:ascii="仿宋_GB2312" w:eastAsia="仿宋_GB2312" w:hAnsi="仿宋_GB2312" w:cs="仿宋_GB2312" w:hint="eastAsia"/>
          <w:color w:val="000000"/>
          <w:kern w:val="0"/>
          <w:sz w:val="32"/>
          <w:szCs w:val="32"/>
        </w:rPr>
        <w:t>次，全年系统运行无重大事故，福利彩票业务监管数据报送工作实现0延迟、0失误。</w:t>
      </w:r>
    </w:p>
    <w:p w:rsidR="00196BCB" w:rsidRPr="001C2A30" w:rsidRDefault="005A1B62" w:rsidP="000F7B04">
      <w:pPr>
        <w:spacing w:line="580" w:lineRule="exact"/>
        <w:ind w:firstLineChars="177" w:firstLine="566"/>
        <w:rPr>
          <w:rFonts w:ascii="仿宋_GB2312" w:eastAsia="仿宋_GB2312" w:hAnsi="仿宋_GB2312" w:cs="仿宋_GB2312"/>
          <w:color w:val="000000"/>
          <w:kern w:val="0"/>
          <w:sz w:val="32"/>
          <w:szCs w:val="32"/>
        </w:rPr>
      </w:pPr>
      <w:r w:rsidRPr="000F7B04">
        <w:rPr>
          <w:rFonts w:ascii="仿宋_GB2312" w:eastAsia="仿宋_GB2312" w:hAnsi="Times New Roman" w:cs="Times New Roman" w:hint="eastAsia"/>
          <w:sz w:val="32"/>
          <w:szCs w:val="32"/>
        </w:rPr>
        <w:t>3.</w:t>
      </w:r>
      <w:r w:rsidR="004F6AA3" w:rsidRPr="001C2A30">
        <w:rPr>
          <w:rFonts w:ascii="仿宋_GB2312" w:eastAsia="仿宋_GB2312" w:hAnsi="仿宋_GB2312" w:cs="仿宋_GB2312" w:hint="eastAsia"/>
          <w:color w:val="000000"/>
          <w:kern w:val="0"/>
          <w:sz w:val="32"/>
          <w:szCs w:val="32"/>
        </w:rPr>
        <w:t>产出进度</w:t>
      </w:r>
    </w:p>
    <w:p w:rsidR="00196BCB" w:rsidRPr="001C2A30" w:rsidRDefault="004F6AA3">
      <w:pPr>
        <w:spacing w:line="580" w:lineRule="exact"/>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w:t>
      </w:r>
      <w:r w:rsidRPr="000F7B04">
        <w:rPr>
          <w:rFonts w:ascii="仿宋_GB2312" w:eastAsia="仿宋_GB2312" w:hAnsi="Times New Roman" w:cs="Times New Roman" w:hint="eastAsia"/>
          <w:sz w:val="32"/>
          <w:szCs w:val="32"/>
        </w:rPr>
        <w:t xml:space="preserve">  2021</w:t>
      </w:r>
      <w:r w:rsidRPr="001C2A30">
        <w:rPr>
          <w:rFonts w:ascii="仿宋_GB2312" w:eastAsia="仿宋_GB2312" w:hAnsi="仿宋_GB2312" w:cs="仿宋_GB2312" w:hint="eastAsia"/>
          <w:color w:val="000000"/>
          <w:kern w:val="0"/>
          <w:sz w:val="32"/>
          <w:szCs w:val="32"/>
        </w:rPr>
        <w:t>年第一季度，全市福彩销量</w:t>
      </w:r>
      <w:r w:rsidRPr="000F7B04">
        <w:rPr>
          <w:rFonts w:ascii="仿宋_GB2312" w:eastAsia="仿宋_GB2312" w:hAnsi="Times New Roman" w:cs="Times New Roman" w:hint="eastAsia"/>
          <w:sz w:val="32"/>
          <w:szCs w:val="32"/>
        </w:rPr>
        <w:t>7.34</w:t>
      </w:r>
      <w:r w:rsidRPr="001C2A30">
        <w:rPr>
          <w:rFonts w:ascii="仿宋_GB2312" w:eastAsia="仿宋_GB2312" w:hAnsi="仿宋_GB2312" w:cs="仿宋_GB2312" w:hint="eastAsia"/>
          <w:color w:val="000000"/>
          <w:kern w:val="0"/>
          <w:sz w:val="32"/>
          <w:szCs w:val="32"/>
        </w:rPr>
        <w:t>亿元，筹集市级公益金</w:t>
      </w:r>
      <w:r w:rsidRPr="000F7B04">
        <w:rPr>
          <w:rFonts w:ascii="仿宋_GB2312" w:eastAsia="仿宋_GB2312" w:hAnsi="Times New Roman" w:cs="Times New Roman" w:hint="eastAsia"/>
          <w:sz w:val="32"/>
          <w:szCs w:val="32"/>
        </w:rPr>
        <w:t>1.26</w:t>
      </w:r>
      <w:r w:rsidRPr="001C2A30">
        <w:rPr>
          <w:rFonts w:ascii="仿宋_GB2312" w:eastAsia="仿宋_GB2312" w:hAnsi="仿宋_GB2312" w:cs="仿宋_GB2312" w:hint="eastAsia"/>
          <w:color w:val="000000"/>
          <w:kern w:val="0"/>
          <w:sz w:val="32"/>
          <w:szCs w:val="32"/>
        </w:rPr>
        <w:t>亿元，本级业务费收入</w:t>
      </w:r>
      <w:r w:rsidRPr="000F7B04">
        <w:rPr>
          <w:rFonts w:ascii="仿宋_GB2312" w:eastAsia="仿宋_GB2312" w:hAnsi="Times New Roman" w:cs="Times New Roman" w:hint="eastAsia"/>
          <w:sz w:val="32"/>
          <w:szCs w:val="32"/>
        </w:rPr>
        <w:t>0.34</w:t>
      </w:r>
      <w:r w:rsidRPr="001C2A30">
        <w:rPr>
          <w:rFonts w:ascii="仿宋_GB2312" w:eastAsia="仿宋_GB2312" w:hAnsi="仿宋_GB2312" w:cs="仿宋_GB2312" w:hint="eastAsia"/>
          <w:color w:val="000000"/>
          <w:kern w:val="0"/>
          <w:sz w:val="32"/>
          <w:szCs w:val="32"/>
        </w:rPr>
        <w:t>亿元；上半年销量</w:t>
      </w:r>
      <w:r w:rsidRPr="000F7B04">
        <w:rPr>
          <w:rFonts w:ascii="仿宋_GB2312" w:eastAsia="仿宋_GB2312" w:hAnsi="Times New Roman" w:cs="Times New Roman" w:hint="eastAsia"/>
          <w:sz w:val="32"/>
          <w:szCs w:val="32"/>
        </w:rPr>
        <w:lastRenderedPageBreak/>
        <w:t>16.25亿元，筹集市级公益金2.74亿元，本级业务费收入0.73亿元；2021年全年销量35.81亿元，筹集市级公益金5.97亿元，本级业务费收入1.61亿元。</w:t>
      </w:r>
    </w:p>
    <w:p w:rsidR="00196BCB" w:rsidRPr="001C2A30" w:rsidRDefault="005A1B62" w:rsidP="005A1B62">
      <w:pPr>
        <w:spacing w:line="580" w:lineRule="exact"/>
        <w:ind w:left="745"/>
        <w:rPr>
          <w:rFonts w:ascii="仿宋_GB2312" w:eastAsia="仿宋_GB2312" w:hAnsi="仿宋_GB2312" w:cs="仿宋_GB2312"/>
          <w:color w:val="000000"/>
          <w:kern w:val="0"/>
          <w:sz w:val="32"/>
          <w:szCs w:val="32"/>
        </w:rPr>
      </w:pPr>
      <w:r w:rsidRPr="000F7B04">
        <w:rPr>
          <w:rFonts w:ascii="仿宋_GB2312" w:eastAsia="仿宋_GB2312" w:hAnsi="Times New Roman" w:cs="Times New Roman" w:hint="eastAsia"/>
          <w:sz w:val="32"/>
          <w:szCs w:val="32"/>
        </w:rPr>
        <w:t>4.</w:t>
      </w:r>
      <w:r w:rsidR="004F6AA3" w:rsidRPr="001C2A30">
        <w:rPr>
          <w:rFonts w:ascii="仿宋_GB2312" w:eastAsia="仿宋_GB2312" w:hAnsi="仿宋_GB2312" w:cs="仿宋_GB2312" w:hint="eastAsia"/>
          <w:color w:val="000000"/>
          <w:kern w:val="0"/>
          <w:sz w:val="32"/>
          <w:szCs w:val="32"/>
        </w:rPr>
        <w:t xml:space="preserve">产出成本     </w:t>
      </w:r>
    </w:p>
    <w:p w:rsidR="00196BCB" w:rsidRPr="001C2A30" w:rsidRDefault="004F6AA3">
      <w:pPr>
        <w:spacing w:line="580" w:lineRule="exact"/>
        <w:rPr>
          <w:rFonts w:ascii="仿宋_GB2312" w:eastAsia="仿宋_GB2312" w:hAnsi="Times New Roman" w:cs="Times New Roman"/>
          <w:sz w:val="32"/>
          <w:szCs w:val="32"/>
        </w:rPr>
      </w:pPr>
      <w:r w:rsidRPr="001C2A30">
        <w:rPr>
          <w:rFonts w:ascii="仿宋_GB2312" w:eastAsia="仿宋_GB2312" w:hAnsi="Times New Roman" w:cs="Times New Roman" w:hint="eastAsia"/>
          <w:sz w:val="32"/>
          <w:szCs w:val="32"/>
        </w:rPr>
        <w:t xml:space="preserve">    基本支出控制情况。2021年基本支出预算数2210.20万元，实际支出2170.91万元，控制率为98.22%。其中，人员经费预算数1927.77万元，实际支出数1927.72万元，控制率为99.99%；公用经费预算数 282.43万元，实际支出数243.18万元，控制率为86.1%。中心牢固树立过紧日子的思想，统筹疫情防控和福彩事业发展，从严控制经费，压缩非刚性公用支出。</w:t>
      </w:r>
    </w:p>
    <w:p w:rsidR="00196BCB" w:rsidRPr="001C2A30" w:rsidRDefault="004F6AA3">
      <w:pPr>
        <w:spacing w:line="580" w:lineRule="exact"/>
        <w:ind w:firstLineChars="200" w:firstLine="640"/>
        <w:rPr>
          <w:rFonts w:ascii="仿宋_GB2312" w:eastAsia="仿宋_GB2312" w:hAnsi="Times New Roman" w:cs="Times New Roman"/>
          <w:sz w:val="32"/>
          <w:szCs w:val="32"/>
        </w:rPr>
      </w:pPr>
      <w:r w:rsidRPr="001C2A30">
        <w:rPr>
          <w:rFonts w:ascii="仿宋_GB2312" w:eastAsia="仿宋_GB2312" w:hAnsi="Times New Roman" w:cs="Times New Roman" w:hint="eastAsia"/>
          <w:sz w:val="32"/>
          <w:szCs w:val="32"/>
        </w:rPr>
        <w:t>“三公”经费控制情况。2021年 “三公”经费预算数9.53万元，决算数3.55万元，控制率为37.25%。“三公”经费继续呈下降态势，中心从严控制运行成本，厉行节约效果明显。</w:t>
      </w:r>
    </w:p>
    <w:p w:rsidR="00196BCB" w:rsidRPr="001C2A30" w:rsidRDefault="004F6AA3">
      <w:pPr>
        <w:spacing w:line="580" w:lineRule="exact"/>
        <w:ind w:leftChars="50" w:left="105" w:firstLineChars="150" w:firstLine="480"/>
        <w:rPr>
          <w:rFonts w:ascii="仿宋_GB2312" w:eastAsia="仿宋_GB2312" w:hAnsi="仿宋_GB2312" w:cs="仿宋_GB2312"/>
          <w:color w:val="000000"/>
          <w:kern w:val="0"/>
          <w:sz w:val="32"/>
          <w:szCs w:val="32"/>
        </w:rPr>
      </w:pPr>
      <w:r w:rsidRPr="001C2A30">
        <w:rPr>
          <w:rFonts w:ascii="仿宋_GB2312" w:eastAsia="仿宋_GB2312" w:hAnsi="Times New Roman" w:cs="Times New Roman" w:hint="eastAsia"/>
          <w:sz w:val="32"/>
          <w:szCs w:val="32"/>
        </w:rPr>
        <w:t>项目经费使用情况。全年项目支出预算数12489.88万元，实际支出11871.34万元，在预算执行过程中按照“科学使用，厉行节约”的原则调减非必要项目支出。</w:t>
      </w:r>
      <w:r w:rsidRPr="001C2A30">
        <w:rPr>
          <w:rFonts w:ascii="仿宋_GB2312" w:eastAsia="仿宋_GB2312" w:hAnsi="仿宋_GB2312" w:cs="仿宋_GB2312" w:hint="eastAsia"/>
          <w:color w:val="000000"/>
          <w:kern w:val="0"/>
          <w:sz w:val="32"/>
          <w:szCs w:val="32"/>
        </w:rPr>
        <w:t xml:space="preserve">                                </w:t>
      </w:r>
    </w:p>
    <w:p w:rsidR="00196BCB" w:rsidRPr="001C2A30" w:rsidRDefault="005A1B62">
      <w:pPr>
        <w:spacing w:line="580" w:lineRule="exact"/>
        <w:ind w:leftChars="50" w:left="10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F6AA3" w:rsidRPr="001C2A30">
        <w:rPr>
          <w:rFonts w:ascii="仿宋_GB2312" w:eastAsia="仿宋_GB2312" w:hAnsi="仿宋_GB2312" w:cs="仿宋_GB2312" w:hint="eastAsia"/>
          <w:sz w:val="32"/>
          <w:szCs w:val="32"/>
        </w:rPr>
        <w:t>效果实现情况分析</w:t>
      </w:r>
    </w:p>
    <w:p w:rsidR="00196BCB" w:rsidRPr="001C2A30" w:rsidRDefault="005A1B62">
      <w:pPr>
        <w:spacing w:line="580" w:lineRule="exact"/>
        <w:ind w:leftChars="50" w:left="105" w:firstLineChars="150" w:firstLine="480"/>
        <w:rPr>
          <w:rFonts w:ascii="仿宋_GB2312" w:eastAsia="仿宋_GB2312" w:hAnsi="仿宋_GB2312" w:cs="仿宋_GB2312"/>
          <w:color w:val="000000"/>
          <w:kern w:val="0"/>
          <w:sz w:val="32"/>
          <w:szCs w:val="32"/>
        </w:rPr>
      </w:pPr>
      <w:r w:rsidRPr="003F358B">
        <w:rPr>
          <w:rFonts w:ascii="仿宋_GB2312" w:eastAsia="仿宋_GB2312" w:hAnsi="Times New Roman" w:cs="Times New Roman" w:hint="eastAsia"/>
          <w:sz w:val="32"/>
          <w:szCs w:val="32"/>
        </w:rPr>
        <w:t>1.</w:t>
      </w:r>
      <w:r w:rsidR="004F6AA3" w:rsidRPr="001C2A30">
        <w:rPr>
          <w:rFonts w:ascii="仿宋_GB2312" w:eastAsia="仿宋_GB2312" w:hAnsi="仿宋_GB2312" w:cs="仿宋_GB2312" w:hint="eastAsia"/>
          <w:color w:val="000000"/>
          <w:kern w:val="0"/>
          <w:sz w:val="32"/>
          <w:szCs w:val="32"/>
        </w:rPr>
        <w:t>经济效益</w:t>
      </w:r>
    </w:p>
    <w:p w:rsidR="00196BCB" w:rsidRPr="000F7B04" w:rsidRDefault="004F6AA3">
      <w:pPr>
        <w:spacing w:line="580" w:lineRule="exact"/>
        <w:ind w:leftChars="50" w:left="105" w:firstLineChars="150" w:firstLine="480"/>
        <w:rPr>
          <w:rFonts w:ascii="仿宋_GB2312" w:eastAsia="仿宋_GB2312" w:hAnsi="Times New Roman" w:cs="Times New Roman"/>
          <w:sz w:val="32"/>
          <w:szCs w:val="32"/>
        </w:rPr>
      </w:pPr>
      <w:r w:rsidRPr="001C2A30">
        <w:rPr>
          <w:rFonts w:ascii="仿宋_GB2312" w:eastAsia="仿宋_GB2312" w:hAnsi="仿宋_GB2312" w:cs="仿宋_GB2312" w:hint="eastAsia"/>
          <w:color w:val="000000"/>
          <w:kern w:val="0"/>
          <w:sz w:val="32"/>
          <w:szCs w:val="32"/>
        </w:rPr>
        <w:t>上缴市级财政款。</w:t>
      </w:r>
      <w:r w:rsidRPr="000F7B04">
        <w:rPr>
          <w:rFonts w:ascii="仿宋_GB2312" w:eastAsia="仿宋_GB2312" w:hAnsi="Times New Roman" w:cs="Times New Roman" w:hint="eastAsia"/>
          <w:sz w:val="32"/>
          <w:szCs w:val="32"/>
        </w:rPr>
        <w:t>2021年市福彩中心上缴市级财政款74729.66万元（上缴市级公益金58835.46万元，上缴本级业务费15894.2万元），较2020年57395.05万元增加</w:t>
      </w:r>
      <w:r w:rsidRPr="000F7B04">
        <w:rPr>
          <w:rFonts w:ascii="仿宋_GB2312" w:eastAsia="仿宋_GB2312" w:hAnsi="Times New Roman" w:cs="Times New Roman" w:hint="eastAsia"/>
          <w:sz w:val="32"/>
          <w:szCs w:val="32"/>
        </w:rPr>
        <w:lastRenderedPageBreak/>
        <w:t>17334.61万元。</w:t>
      </w:r>
    </w:p>
    <w:p w:rsidR="00196BCB" w:rsidRPr="000F7B04" w:rsidRDefault="004F6AA3">
      <w:pPr>
        <w:spacing w:line="580" w:lineRule="exact"/>
        <w:ind w:leftChars="50" w:left="105" w:firstLineChars="150" w:firstLine="480"/>
        <w:rPr>
          <w:rFonts w:ascii="仿宋_GB2312" w:eastAsia="仿宋_GB2312" w:hAnsi="Times New Roman" w:cs="Times New Roman"/>
          <w:sz w:val="32"/>
          <w:szCs w:val="32"/>
        </w:rPr>
      </w:pPr>
      <w:r w:rsidRPr="001C2A30">
        <w:rPr>
          <w:rFonts w:ascii="仿宋_GB2312" w:eastAsia="仿宋_GB2312" w:hAnsi="仿宋_GB2312" w:cs="仿宋_GB2312" w:hint="eastAsia"/>
          <w:color w:val="000000"/>
          <w:kern w:val="0"/>
          <w:sz w:val="32"/>
          <w:szCs w:val="32"/>
        </w:rPr>
        <w:t>代缴中奖人个人所得税。</w:t>
      </w:r>
      <w:r w:rsidRPr="000F7B04">
        <w:rPr>
          <w:rFonts w:ascii="仿宋_GB2312" w:eastAsia="仿宋_GB2312" w:hAnsi="Times New Roman" w:cs="Times New Roman" w:hint="eastAsia"/>
          <w:sz w:val="32"/>
          <w:szCs w:val="32"/>
        </w:rPr>
        <w:t>2021年市福彩中心代缴中奖人个人所得税7763.99万元</w:t>
      </w:r>
      <w:r w:rsidR="000F7B04">
        <w:rPr>
          <w:rFonts w:ascii="仿宋_GB2312" w:eastAsia="仿宋_GB2312" w:hAnsi="Times New Roman" w:cs="Times New Roman" w:hint="eastAsia"/>
          <w:sz w:val="32"/>
          <w:szCs w:val="32"/>
        </w:rPr>
        <w:t>。</w:t>
      </w:r>
    </w:p>
    <w:p w:rsidR="00196BCB" w:rsidRPr="001C2A30" w:rsidRDefault="005A1B62" w:rsidP="005A1B62">
      <w:pPr>
        <w:spacing w:line="580" w:lineRule="exact"/>
        <w:ind w:left="585"/>
        <w:rPr>
          <w:rFonts w:ascii="仿宋_GB2312" w:eastAsia="仿宋_GB2312" w:hAnsi="仿宋_GB2312" w:cs="仿宋_GB2312"/>
          <w:color w:val="000000"/>
          <w:kern w:val="0"/>
          <w:sz w:val="32"/>
          <w:szCs w:val="32"/>
        </w:rPr>
      </w:pPr>
      <w:r w:rsidRPr="003F358B">
        <w:rPr>
          <w:rFonts w:ascii="仿宋_GB2312" w:eastAsia="仿宋_GB2312" w:hAnsi="Times New Roman" w:cs="Times New Roman" w:hint="eastAsia"/>
          <w:sz w:val="32"/>
          <w:szCs w:val="32"/>
        </w:rPr>
        <w:t>2.</w:t>
      </w:r>
      <w:r w:rsidR="004F6AA3" w:rsidRPr="001C2A30">
        <w:rPr>
          <w:rFonts w:ascii="仿宋_GB2312" w:eastAsia="仿宋_GB2312" w:hAnsi="仿宋_GB2312" w:cs="仿宋_GB2312" w:hint="eastAsia"/>
          <w:color w:val="000000"/>
          <w:kern w:val="0"/>
          <w:sz w:val="32"/>
          <w:szCs w:val="32"/>
        </w:rPr>
        <w:t>社会效益</w:t>
      </w:r>
    </w:p>
    <w:p w:rsidR="00196BCB" w:rsidRPr="001C2A30" w:rsidRDefault="004F6AA3">
      <w:pPr>
        <w:spacing w:line="580" w:lineRule="exact"/>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福彩公益金支持公益项目。</w:t>
      </w:r>
      <w:r w:rsidRPr="003F358B">
        <w:rPr>
          <w:rFonts w:ascii="仿宋_GB2312" w:eastAsia="仿宋_GB2312" w:hAnsi="Times New Roman" w:cs="Times New Roman" w:hint="eastAsia"/>
          <w:sz w:val="32"/>
          <w:szCs w:val="32"/>
        </w:rPr>
        <w:t>2021</w:t>
      </w:r>
      <w:r w:rsidRPr="001C2A30">
        <w:rPr>
          <w:rFonts w:ascii="仿宋_GB2312" w:eastAsia="仿宋_GB2312" w:hAnsi="仿宋_GB2312" w:cs="仿宋_GB2312" w:hint="eastAsia"/>
          <w:color w:val="000000"/>
          <w:kern w:val="0"/>
          <w:sz w:val="32"/>
          <w:szCs w:val="32"/>
        </w:rPr>
        <w:t>年，全市福彩销售筹集市级公益金</w:t>
      </w:r>
      <w:r w:rsidRPr="003F358B">
        <w:rPr>
          <w:rFonts w:ascii="仿宋_GB2312" w:eastAsia="仿宋_GB2312" w:hAnsi="Times New Roman" w:cs="Times New Roman" w:hint="eastAsia"/>
          <w:sz w:val="32"/>
          <w:szCs w:val="32"/>
        </w:rPr>
        <w:t>5.97</w:t>
      </w:r>
      <w:r w:rsidRPr="001C2A30">
        <w:rPr>
          <w:rFonts w:ascii="仿宋_GB2312" w:eastAsia="仿宋_GB2312" w:hAnsi="仿宋_GB2312" w:cs="仿宋_GB2312" w:hint="eastAsia"/>
          <w:color w:val="000000"/>
          <w:kern w:val="0"/>
          <w:sz w:val="32"/>
          <w:szCs w:val="32"/>
        </w:rPr>
        <w:t>亿元，有力地支持了各类民生工作和公益项目，为“十四五”打下良好开局。</w:t>
      </w:r>
    </w:p>
    <w:p w:rsidR="00196BCB" w:rsidRPr="00D57B6A" w:rsidRDefault="004F6AA3">
      <w:pPr>
        <w:spacing w:line="580" w:lineRule="exact"/>
        <w:ind w:leftChars="50" w:left="105" w:firstLineChars="150" w:firstLine="480"/>
        <w:rPr>
          <w:rFonts w:ascii="仿宋_GB2312" w:eastAsia="仿宋_GB2312" w:hAnsi="Times New Roman" w:cs="Times New Roman"/>
          <w:sz w:val="32"/>
          <w:szCs w:val="32"/>
        </w:rPr>
      </w:pPr>
      <w:r w:rsidRPr="001C2A30">
        <w:rPr>
          <w:rFonts w:ascii="仿宋_GB2312" w:eastAsia="仿宋_GB2312" w:hAnsi="仿宋_GB2312" w:cs="仿宋_GB2312" w:hint="eastAsia"/>
          <w:color w:val="000000"/>
          <w:kern w:val="0"/>
          <w:sz w:val="32"/>
          <w:szCs w:val="32"/>
        </w:rPr>
        <w:t>开展公益宣传。</w:t>
      </w:r>
      <w:r w:rsidRPr="00D57B6A">
        <w:rPr>
          <w:rFonts w:ascii="仿宋_GB2312" w:eastAsia="仿宋_GB2312" w:hAnsi="Times New Roman" w:cs="Times New Roman" w:hint="eastAsia"/>
          <w:sz w:val="32"/>
          <w:szCs w:val="32"/>
        </w:rPr>
        <w:t>2021年，市福彩中心继续强化公益品牌形象，通过丰富宣传内容、构建新媒体矩阵、加强责任彩票建设等不断加大宣传力度，助力公益理念深入人心。</w:t>
      </w:r>
    </w:p>
    <w:p w:rsidR="005A1B62" w:rsidRPr="00D57B6A" w:rsidRDefault="004F6AA3" w:rsidP="005A1B62">
      <w:pPr>
        <w:spacing w:line="580" w:lineRule="exact"/>
        <w:ind w:leftChars="50" w:left="105" w:firstLineChars="150" w:firstLine="480"/>
        <w:rPr>
          <w:rFonts w:ascii="仿宋_GB2312" w:eastAsia="仿宋_GB2312" w:hAnsi="Times New Roman" w:cs="Times New Roman"/>
          <w:sz w:val="32"/>
          <w:szCs w:val="32"/>
        </w:rPr>
      </w:pPr>
      <w:r w:rsidRPr="00D57B6A">
        <w:rPr>
          <w:rFonts w:ascii="仿宋_GB2312" w:eastAsia="仿宋_GB2312" w:hAnsi="Times New Roman" w:cs="Times New Roman" w:hint="eastAsia"/>
          <w:sz w:val="32"/>
          <w:szCs w:val="32"/>
        </w:rPr>
        <w:t>带动社会就业。2021年，市福彩中心进一步加大市场开拓力度，新增141个销售站点，3家旗舰店正式开始运营，截止至2021年年底，全市站点总数达到 2522个，一定程度上在提供社会就业岗位方面发挥作用。2021年度全年支付福彩代销者代销费约2.83亿元。</w:t>
      </w:r>
    </w:p>
    <w:p w:rsidR="001352A7" w:rsidRDefault="005A1B62" w:rsidP="001352A7">
      <w:pPr>
        <w:spacing w:line="580" w:lineRule="exact"/>
        <w:ind w:leftChars="50" w:left="105" w:firstLineChars="150" w:firstLine="480"/>
        <w:rPr>
          <w:rFonts w:ascii="仿宋_GB2312" w:eastAsia="仿宋_GB2312" w:hAnsi="仿宋_GB2312" w:cs="仿宋_GB2312"/>
          <w:color w:val="000000"/>
          <w:kern w:val="0"/>
          <w:sz w:val="32"/>
          <w:szCs w:val="32"/>
        </w:rPr>
      </w:pPr>
      <w:r w:rsidRPr="001352A7">
        <w:rPr>
          <w:rFonts w:ascii="仿宋_GB2312" w:eastAsia="仿宋_GB2312" w:hAnsi="Times New Roman" w:cs="Times New Roman" w:hint="eastAsia"/>
          <w:sz w:val="32"/>
          <w:szCs w:val="32"/>
        </w:rPr>
        <w:t>3.</w:t>
      </w:r>
      <w:r w:rsidR="004F6AA3" w:rsidRPr="001C2A30">
        <w:rPr>
          <w:rFonts w:ascii="仿宋_GB2312" w:eastAsia="仿宋_GB2312" w:hAnsi="仿宋_GB2312" w:cs="仿宋_GB2312" w:hint="eastAsia"/>
          <w:color w:val="000000"/>
          <w:kern w:val="0"/>
          <w:sz w:val="32"/>
          <w:szCs w:val="32"/>
        </w:rPr>
        <w:t>环境效益</w:t>
      </w:r>
    </w:p>
    <w:p w:rsidR="00196BCB" w:rsidRPr="001C2A30" w:rsidRDefault="004F6AA3" w:rsidP="001352A7">
      <w:pPr>
        <w:spacing w:line="580" w:lineRule="exact"/>
        <w:ind w:leftChars="50" w:left="105" w:firstLineChars="150" w:firstLine="48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彩票发行销售具有技术更新快、能源资源消耗少、基本没有环境污染的特点，未对环境产生不利影响。</w:t>
      </w:r>
    </w:p>
    <w:p w:rsidR="00196BCB" w:rsidRPr="00E545F3" w:rsidRDefault="005A1B62" w:rsidP="005A1B62">
      <w:pPr>
        <w:spacing w:line="580" w:lineRule="exact"/>
        <w:ind w:left="585"/>
        <w:rPr>
          <w:rFonts w:ascii="仿宋_GB2312" w:eastAsia="仿宋_GB2312" w:hAnsi="Times New Roman" w:cs="Times New Roman"/>
          <w:sz w:val="32"/>
          <w:szCs w:val="32"/>
        </w:rPr>
      </w:pPr>
      <w:r w:rsidRPr="00E545F3">
        <w:rPr>
          <w:rFonts w:ascii="仿宋_GB2312" w:eastAsia="仿宋_GB2312" w:hAnsi="Times New Roman" w:cs="Times New Roman" w:hint="eastAsia"/>
          <w:sz w:val="32"/>
          <w:szCs w:val="32"/>
        </w:rPr>
        <w:t>4.</w:t>
      </w:r>
      <w:r w:rsidR="004F6AA3" w:rsidRPr="00E545F3">
        <w:rPr>
          <w:rFonts w:ascii="仿宋_GB2312" w:eastAsia="仿宋_GB2312" w:hAnsi="Times New Roman" w:cs="Times New Roman" w:hint="eastAsia"/>
          <w:sz w:val="32"/>
          <w:szCs w:val="32"/>
        </w:rPr>
        <w:t>可持续性影响</w:t>
      </w:r>
    </w:p>
    <w:p w:rsidR="00196BCB" w:rsidRPr="001C2A30" w:rsidRDefault="004F6AA3">
      <w:pPr>
        <w:spacing w:line="580" w:lineRule="exact"/>
        <w:rPr>
          <w:rFonts w:ascii="仿宋_GB2312" w:eastAsia="仿宋_GB2312" w:hAnsi="仿宋_GB2312" w:cs="仿宋_GB2312"/>
          <w:color w:val="000000"/>
          <w:kern w:val="0"/>
          <w:sz w:val="32"/>
          <w:szCs w:val="32"/>
        </w:rPr>
      </w:pPr>
      <w:r w:rsidRPr="00E545F3">
        <w:rPr>
          <w:rFonts w:ascii="仿宋_GB2312" w:eastAsia="仿宋_GB2312" w:hAnsi="Times New Roman" w:cs="Times New Roman" w:hint="eastAsia"/>
          <w:sz w:val="32"/>
          <w:szCs w:val="32"/>
        </w:rPr>
        <w:t xml:space="preserve">    福彩销售助力共同富裕。2021年全市福彩销量35.81亿元，在拉动消费、培育市场方面发挥了一定作用；筹集市级公益金5.97亿元，全部用于扶老助残等社会公益项目，助力第三次分配</w:t>
      </w:r>
      <w:r w:rsidRPr="001C2A30">
        <w:rPr>
          <w:rFonts w:ascii="仿宋_GB2312" w:eastAsia="仿宋_GB2312" w:hAnsi="仿宋_GB2312" w:cs="仿宋_GB2312" w:hint="eastAsia"/>
          <w:color w:val="000000"/>
          <w:kern w:val="0"/>
          <w:sz w:val="32"/>
          <w:szCs w:val="32"/>
        </w:rPr>
        <w:t>。</w:t>
      </w:r>
    </w:p>
    <w:p w:rsidR="00196BCB" w:rsidRPr="001C2A30" w:rsidRDefault="004F6AA3">
      <w:pPr>
        <w:spacing w:line="580" w:lineRule="exact"/>
        <w:ind w:leftChars="50" w:left="105" w:firstLineChars="150" w:firstLine="48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lastRenderedPageBreak/>
        <w:t>公益理念逐渐深入人心。市福彩中心始终坚持党对宣传工作的全面领导，牢牢守住宣传工作阵地，高举公益宣传大旗，坚持福利彩票的人民属性、国家属性、公益属性，不断提升福彩公益品牌和形象。</w:t>
      </w:r>
    </w:p>
    <w:p w:rsidR="00196BCB" w:rsidRPr="001C2A30" w:rsidRDefault="005A1B62" w:rsidP="005A1B62">
      <w:pPr>
        <w:spacing w:line="580" w:lineRule="exact"/>
        <w:ind w:firstLineChars="177" w:firstLine="566"/>
        <w:rPr>
          <w:rFonts w:ascii="仿宋_GB2312" w:eastAsia="仿宋_GB2312" w:hAnsi="仿宋_GB2312" w:cs="仿宋_GB2312"/>
          <w:color w:val="000000"/>
          <w:kern w:val="0"/>
          <w:sz w:val="32"/>
          <w:szCs w:val="32"/>
        </w:rPr>
      </w:pPr>
      <w:r w:rsidRPr="00386E6B">
        <w:rPr>
          <w:rFonts w:ascii="仿宋_GB2312" w:eastAsia="仿宋_GB2312" w:hAnsi="Times New Roman" w:cs="Times New Roman" w:hint="eastAsia"/>
          <w:sz w:val="32"/>
          <w:szCs w:val="32"/>
        </w:rPr>
        <w:t>5</w:t>
      </w:r>
      <w:r w:rsidRPr="00386E6B">
        <w:rPr>
          <w:rFonts w:ascii="仿宋_GB2312" w:eastAsia="仿宋_GB2312" w:hAnsi="Times New Roman" w:cs="Times New Roman"/>
          <w:sz w:val="32"/>
          <w:szCs w:val="32"/>
        </w:rPr>
        <w:t>.</w:t>
      </w:r>
      <w:r w:rsidR="004F6AA3" w:rsidRPr="001C2A30">
        <w:rPr>
          <w:rFonts w:ascii="仿宋_GB2312" w:eastAsia="仿宋_GB2312" w:hAnsi="仿宋_GB2312" w:cs="仿宋_GB2312" w:hint="eastAsia"/>
          <w:color w:val="000000"/>
          <w:kern w:val="0"/>
          <w:sz w:val="32"/>
          <w:szCs w:val="32"/>
        </w:rPr>
        <w:t>服务对象满意度</w:t>
      </w:r>
    </w:p>
    <w:p w:rsidR="00196BCB" w:rsidRPr="001C2A30" w:rsidRDefault="004F6AA3">
      <w:pPr>
        <w:spacing w:line="580" w:lineRule="exact"/>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进一步优化体制机制。根据福彩体制改革要求和事业单位改革安排，成立</w:t>
      </w:r>
      <w:r w:rsidRPr="00386E6B">
        <w:rPr>
          <w:rFonts w:ascii="仿宋_GB2312" w:eastAsia="仿宋_GB2312" w:hAnsi="Times New Roman" w:cs="Times New Roman" w:hint="eastAsia"/>
          <w:sz w:val="32"/>
          <w:szCs w:val="32"/>
        </w:rPr>
        <w:t>6</w:t>
      </w:r>
      <w:r w:rsidRPr="001C2A30">
        <w:rPr>
          <w:rFonts w:ascii="仿宋_GB2312" w:eastAsia="仿宋_GB2312" w:hAnsi="仿宋_GB2312" w:cs="仿宋_GB2312" w:hint="eastAsia"/>
          <w:color w:val="000000"/>
          <w:kern w:val="0"/>
          <w:sz w:val="32"/>
          <w:szCs w:val="32"/>
        </w:rPr>
        <w:t>个区域销售部全面接管全市福彩销售站，设置市场管理三部协助各区域销售部落实相关工作，转变管理模式、提升管理效能，销售站和彩民满意度进一步提升。</w:t>
      </w:r>
    </w:p>
    <w:p w:rsidR="00196BCB" w:rsidRPr="001C2A30" w:rsidRDefault="004F6AA3">
      <w:pPr>
        <w:spacing w:line="580" w:lineRule="exact"/>
        <w:ind w:leftChars="50" w:left="105" w:firstLineChars="150" w:firstLine="48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深化调查研究。</w:t>
      </w:r>
      <w:r w:rsidRPr="00386E6B">
        <w:rPr>
          <w:rFonts w:ascii="仿宋_GB2312" w:eastAsia="仿宋_GB2312" w:hAnsi="Times New Roman" w:cs="Times New Roman" w:hint="eastAsia"/>
          <w:sz w:val="32"/>
          <w:szCs w:val="32"/>
        </w:rPr>
        <w:t>2021</w:t>
      </w:r>
      <w:r w:rsidRPr="001C2A30">
        <w:rPr>
          <w:rFonts w:ascii="仿宋_GB2312" w:eastAsia="仿宋_GB2312" w:hAnsi="仿宋_GB2312" w:cs="仿宋_GB2312" w:hint="eastAsia"/>
          <w:color w:val="000000"/>
          <w:kern w:val="0"/>
          <w:sz w:val="32"/>
          <w:szCs w:val="32"/>
        </w:rPr>
        <w:t>年福彩中心在深化调研的基础上促进科学决策，形成客服工作周报和诉求分析月报的定期通报制度，深入了解问题需求，提升问题解决能力。</w:t>
      </w:r>
    </w:p>
    <w:p w:rsidR="00196BCB" w:rsidRPr="00386E6B" w:rsidRDefault="004F6AA3">
      <w:pPr>
        <w:spacing w:line="580" w:lineRule="exact"/>
        <w:ind w:leftChars="50" w:left="105" w:firstLineChars="150" w:firstLine="480"/>
        <w:rPr>
          <w:rFonts w:ascii="仿宋_GB2312" w:eastAsia="仿宋_GB2312" w:hAnsi="Times New Roman" w:cs="Times New Roman"/>
          <w:sz w:val="32"/>
          <w:szCs w:val="32"/>
        </w:rPr>
      </w:pPr>
      <w:r w:rsidRPr="001C2A30">
        <w:rPr>
          <w:rFonts w:ascii="仿宋_GB2312" w:eastAsia="仿宋_GB2312" w:hAnsi="仿宋_GB2312" w:cs="仿宋_GB2312" w:hint="eastAsia"/>
          <w:color w:val="000000"/>
          <w:kern w:val="0"/>
          <w:sz w:val="32"/>
          <w:szCs w:val="32"/>
        </w:rPr>
        <w:t>解决销售站“急难愁盼”问题。开展全市失效投注单、打印纸统一回购，</w:t>
      </w:r>
      <w:r w:rsidRPr="00386E6B">
        <w:rPr>
          <w:rFonts w:ascii="仿宋_GB2312" w:eastAsia="仿宋_GB2312" w:hAnsi="Times New Roman" w:cs="Times New Roman" w:hint="eastAsia"/>
          <w:sz w:val="32"/>
          <w:szCs w:val="32"/>
        </w:rPr>
        <w:t>涉及全市739个销售站，资金总计28.84万元。</w:t>
      </w:r>
    </w:p>
    <w:p w:rsidR="00196BCB" w:rsidRPr="001C2A30" w:rsidRDefault="004F6AA3">
      <w:pPr>
        <w:spacing w:line="580" w:lineRule="exact"/>
        <w:ind w:leftChars="50" w:left="105" w:firstLineChars="150" w:firstLine="480"/>
        <w:rPr>
          <w:rFonts w:ascii="仿宋_GB2312" w:eastAsia="仿宋_GB2312" w:hAnsi="仿宋_GB2312" w:cs="仿宋_GB2312"/>
          <w:color w:val="000000"/>
          <w:kern w:val="0"/>
          <w:sz w:val="32"/>
          <w:szCs w:val="32"/>
        </w:rPr>
      </w:pPr>
      <w:r w:rsidRPr="00386E6B">
        <w:rPr>
          <w:rFonts w:ascii="仿宋_GB2312" w:eastAsia="仿宋_GB2312" w:hAnsi="Times New Roman" w:cs="Times New Roman" w:hint="eastAsia"/>
          <w:sz w:val="32"/>
          <w:szCs w:val="32"/>
        </w:rPr>
        <w:t>优化销售系统功能。完成30次系统功能升级，涉及提升功能和便利性、降低售彩隐患等多方面，并创新采用</w:t>
      </w:r>
      <w:r w:rsidRPr="001C2A30">
        <w:rPr>
          <w:rFonts w:ascii="仿宋_GB2312" w:eastAsia="仿宋_GB2312" w:hAnsi="仿宋_GB2312" w:cs="仿宋_GB2312" w:hint="eastAsia"/>
          <w:color w:val="000000"/>
          <w:kern w:val="0"/>
          <w:sz w:val="32"/>
          <w:szCs w:val="32"/>
        </w:rPr>
        <w:t>“小区域验证，大范围升级”的升级理念，降低升级风险。</w:t>
      </w:r>
    </w:p>
    <w:p w:rsidR="00196BCB" w:rsidRPr="00043A36" w:rsidRDefault="00043A36">
      <w:pPr>
        <w:spacing w:line="580" w:lineRule="exact"/>
        <w:ind w:leftChars="50" w:left="105" w:firstLineChars="150" w:firstLine="480"/>
        <w:rPr>
          <w:rFonts w:ascii="黑体" w:eastAsia="黑体" w:hAnsi="黑体" w:cs="仿宋_GB2312"/>
          <w:color w:val="000000"/>
          <w:kern w:val="0"/>
          <w:sz w:val="32"/>
          <w:szCs w:val="32"/>
        </w:rPr>
      </w:pPr>
      <w:r w:rsidRPr="00043A36">
        <w:rPr>
          <w:rFonts w:ascii="黑体" w:eastAsia="黑体" w:hAnsi="黑体" w:cs="仿宋_GB2312" w:hint="eastAsia"/>
          <w:color w:val="000000"/>
          <w:kern w:val="0"/>
          <w:sz w:val="32"/>
          <w:szCs w:val="32"/>
        </w:rPr>
        <w:t>四、</w:t>
      </w:r>
      <w:r w:rsidR="004F6AA3" w:rsidRPr="00043A36">
        <w:rPr>
          <w:rFonts w:ascii="黑体" w:eastAsia="黑体" w:hAnsi="黑体" w:cs="仿宋_GB2312" w:hint="eastAsia"/>
          <w:color w:val="000000"/>
          <w:kern w:val="0"/>
          <w:sz w:val="32"/>
          <w:szCs w:val="32"/>
        </w:rPr>
        <w:t>预算管理情况分析</w:t>
      </w:r>
    </w:p>
    <w:p w:rsidR="00196BCB" w:rsidRPr="001C2A30" w:rsidRDefault="005E1097">
      <w:pPr>
        <w:spacing w:line="580" w:lineRule="exact"/>
        <w:ind w:leftChars="50" w:left="10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F6AA3" w:rsidRPr="001C2A30">
        <w:rPr>
          <w:rFonts w:ascii="仿宋_GB2312" w:eastAsia="仿宋_GB2312" w:hAnsi="仿宋_GB2312" w:cs="仿宋_GB2312" w:hint="eastAsia"/>
          <w:sz w:val="32"/>
          <w:szCs w:val="32"/>
        </w:rPr>
        <w:t>财务管理</w:t>
      </w:r>
    </w:p>
    <w:p w:rsidR="00196BCB" w:rsidRPr="001C2A30" w:rsidRDefault="00A83951">
      <w:pPr>
        <w:spacing w:line="580" w:lineRule="exact"/>
        <w:ind w:leftChars="50" w:left="105" w:firstLineChars="150" w:firstLine="480"/>
        <w:rPr>
          <w:rFonts w:ascii="仿宋_GB2312" w:eastAsia="仿宋_GB2312" w:hAnsi="仿宋_GB2312" w:cs="仿宋_GB2312"/>
          <w:color w:val="000000"/>
          <w:kern w:val="0"/>
          <w:sz w:val="32"/>
          <w:szCs w:val="32"/>
        </w:rPr>
      </w:pPr>
      <w:r>
        <w:rPr>
          <w:rFonts w:ascii="仿宋_GB2312" w:eastAsia="仿宋_GB2312" w:hAnsi="Times New Roman" w:cs="Times New Roman"/>
          <w:sz w:val="32"/>
          <w:szCs w:val="32"/>
        </w:rPr>
        <w:t>1.</w:t>
      </w:r>
      <w:r w:rsidR="004F6AA3" w:rsidRPr="001C2A30">
        <w:rPr>
          <w:rFonts w:ascii="仿宋_GB2312" w:eastAsia="仿宋_GB2312" w:hAnsi="仿宋_GB2312" w:cs="仿宋_GB2312" w:hint="eastAsia"/>
          <w:color w:val="000000"/>
          <w:kern w:val="0"/>
          <w:sz w:val="32"/>
          <w:szCs w:val="32"/>
        </w:rPr>
        <w:t>财务管理制度健全性</w:t>
      </w:r>
    </w:p>
    <w:p w:rsidR="00196BCB" w:rsidRPr="001C2A30" w:rsidRDefault="004F6AA3">
      <w:pPr>
        <w:spacing w:line="580" w:lineRule="exact"/>
        <w:ind w:leftChars="50" w:left="105" w:firstLineChars="150" w:firstLine="480"/>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市福彩中心为有效加强预算管理、规范财务行为，结合中心实际情况，全面分析风险防控点，不断完善财务管理制</w:t>
      </w:r>
      <w:r w:rsidRPr="001C2A30">
        <w:rPr>
          <w:rFonts w:ascii="仿宋_GB2312" w:eastAsia="仿宋_GB2312" w:hAnsi="仿宋_GB2312" w:cs="仿宋_GB2312" w:hint="eastAsia"/>
          <w:color w:val="000000"/>
          <w:kern w:val="0"/>
          <w:sz w:val="32"/>
          <w:szCs w:val="32"/>
        </w:rPr>
        <w:lastRenderedPageBreak/>
        <w:t>度建设和单位内部控制建设。根据国家财经法律法规和政府会计改革要求，对资金使用的程序流程及各部门职责进行明确，进一步规范资金的使用支出，提高资金风险防控能力。</w:t>
      </w:r>
    </w:p>
    <w:p w:rsidR="00196BCB" w:rsidRPr="001C2A30" w:rsidRDefault="005E1097" w:rsidP="005E1097">
      <w:pPr>
        <w:spacing w:line="580" w:lineRule="exact"/>
        <w:ind w:firstLineChars="221" w:firstLine="707"/>
        <w:rPr>
          <w:rFonts w:ascii="仿宋_GB2312" w:eastAsia="仿宋_GB2312" w:hAnsi="仿宋_GB2312" w:cs="仿宋_GB2312"/>
          <w:color w:val="000000"/>
          <w:kern w:val="0"/>
          <w:sz w:val="32"/>
          <w:szCs w:val="32"/>
        </w:rPr>
      </w:pPr>
      <w:r w:rsidRPr="00A83951">
        <w:rPr>
          <w:rFonts w:ascii="仿宋_GB2312" w:eastAsia="仿宋_GB2312" w:hAnsi="Times New Roman" w:cs="Times New Roman" w:hint="eastAsia"/>
          <w:sz w:val="32"/>
          <w:szCs w:val="32"/>
        </w:rPr>
        <w:t>2</w:t>
      </w:r>
      <w:r w:rsidRPr="00A83951">
        <w:rPr>
          <w:rFonts w:ascii="仿宋_GB2312" w:eastAsia="仿宋_GB2312" w:hAnsi="Times New Roman" w:cs="Times New Roman"/>
          <w:sz w:val="32"/>
          <w:szCs w:val="32"/>
        </w:rPr>
        <w:t>.</w:t>
      </w:r>
      <w:r w:rsidR="004F6AA3" w:rsidRPr="001C2A30">
        <w:rPr>
          <w:rFonts w:ascii="仿宋_GB2312" w:eastAsia="仿宋_GB2312" w:hAnsi="仿宋_GB2312" w:cs="仿宋_GB2312" w:hint="eastAsia"/>
          <w:color w:val="000000"/>
          <w:kern w:val="0"/>
          <w:sz w:val="32"/>
          <w:szCs w:val="32"/>
        </w:rPr>
        <w:t>资金使用合规性和安全性</w:t>
      </w:r>
    </w:p>
    <w:p w:rsidR="00196BCB" w:rsidRPr="001C2A30" w:rsidRDefault="004F6AA3">
      <w:pPr>
        <w:spacing w:line="580" w:lineRule="exact"/>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市福彩中心严格执行《彩票管理条例》及《彩票管理条例实施细则》、《彩票机构财务管理办法》、《行政事业单位内部控制规范（试行）》及《政府会计制度》等政策规章制度，结合自身业务特点和管理形式，制订了财务管理内部控制、中心内部控制等管理制度，加强资金使用的监督管理，确保财政资金使用效益。坚持集体决策，相关事项按规定提交党支部委员会和主任办公会进行研究，做到科学民主决策。严格资金使用事前审批和预算执行，除特殊、紧急事项外，均需在财务集成系统中按规定的审批权限履行审批程序，预算资金使用不存在改变预算批复用途以及截留、挤占、挪用、虚列支出等情况。</w:t>
      </w:r>
    </w:p>
    <w:p w:rsidR="00196BCB" w:rsidRPr="001C2A30" w:rsidRDefault="005E1097" w:rsidP="005E1097">
      <w:pPr>
        <w:spacing w:line="580" w:lineRule="exact"/>
        <w:ind w:left="585"/>
        <w:rPr>
          <w:rFonts w:ascii="仿宋_GB2312" w:eastAsia="仿宋_GB2312" w:hAnsi="仿宋_GB2312" w:cs="仿宋_GB2312"/>
          <w:color w:val="000000"/>
          <w:kern w:val="0"/>
          <w:sz w:val="32"/>
          <w:szCs w:val="32"/>
        </w:rPr>
      </w:pPr>
      <w:r w:rsidRPr="00A83951">
        <w:rPr>
          <w:rFonts w:ascii="仿宋_GB2312" w:eastAsia="仿宋_GB2312" w:hAnsi="Times New Roman" w:cs="Times New Roman" w:hint="eastAsia"/>
          <w:sz w:val="32"/>
          <w:szCs w:val="32"/>
        </w:rPr>
        <w:t>3.</w:t>
      </w:r>
      <w:r w:rsidR="004F6AA3" w:rsidRPr="001C2A30">
        <w:rPr>
          <w:rFonts w:ascii="仿宋_GB2312" w:eastAsia="仿宋_GB2312" w:hAnsi="仿宋_GB2312" w:cs="仿宋_GB2312" w:hint="eastAsia"/>
          <w:color w:val="000000"/>
          <w:kern w:val="0"/>
          <w:sz w:val="32"/>
          <w:szCs w:val="32"/>
        </w:rPr>
        <w:t>会计基础信息完善性</w:t>
      </w:r>
    </w:p>
    <w:p w:rsidR="00196BCB" w:rsidRPr="001C2A30" w:rsidRDefault="004F6AA3">
      <w:pPr>
        <w:spacing w:line="580" w:lineRule="exact"/>
        <w:rPr>
          <w:rFonts w:ascii="仿宋_GB2312" w:eastAsia="仿宋_GB2312" w:hAnsi="仿宋_GB2312" w:cs="仿宋_GB2312"/>
          <w:color w:val="000000"/>
          <w:kern w:val="0"/>
          <w:sz w:val="32"/>
          <w:szCs w:val="32"/>
        </w:rPr>
      </w:pPr>
      <w:r w:rsidRPr="001C2A30">
        <w:rPr>
          <w:rFonts w:ascii="仿宋_GB2312" w:eastAsia="仿宋_GB2312" w:hAnsi="仿宋_GB2312" w:cs="仿宋_GB2312" w:hint="eastAsia"/>
          <w:color w:val="000000"/>
          <w:kern w:val="0"/>
          <w:sz w:val="32"/>
          <w:szCs w:val="32"/>
        </w:rPr>
        <w:t xml:space="preserve">    资金管理部为福彩中心的会计机构，履行会计机构相关职能，主要负责福彩中心的财务管理，牵头内部控制工作等。部门设置部长、副部长、会计、出纳、综合业务人员等岗位，并对每一岗位具体职责进行明确。岗位设置符合福彩中心实际工作要求，并做到了不相容岗位相互分离、相互制约，针对上岗人员，要求具备会计等相应职业资格与能力。福彩中心执行财政部发布的《政府会计准则》及《关于彩票机构执</w:t>
      </w:r>
      <w:r w:rsidRPr="001C2A30">
        <w:rPr>
          <w:rFonts w:ascii="仿宋_GB2312" w:eastAsia="仿宋_GB2312" w:hAnsi="仿宋_GB2312" w:cs="仿宋_GB2312" w:hint="eastAsia"/>
          <w:color w:val="000000"/>
          <w:kern w:val="0"/>
          <w:sz w:val="32"/>
          <w:szCs w:val="32"/>
        </w:rPr>
        <w:lastRenderedPageBreak/>
        <w:t>行〈政府会计制度——行政事业单位会计科目和报表〉的补充规定》等相关制度规定，会计核算体系健全，会计科目设置完整，会计凭证、会计账簿、会计报表和其他会计资料按照规定进行定期收集、整理、立卷、归档，确保部门基础数据信息和会计信息资料的真实性、完整性、准确性，对预算管理工作起到基础保障作用</w:t>
      </w:r>
      <w:r w:rsidRPr="001C2A30">
        <w:rPr>
          <w:rFonts w:ascii="仿宋_GB2312" w:eastAsia="仿宋_GB2312" w:hAnsi="宋体" w:cs="宋体" w:hint="eastAsia"/>
          <w:color w:val="000000"/>
          <w:kern w:val="0"/>
          <w:sz w:val="32"/>
          <w:szCs w:val="32"/>
        </w:rPr>
        <w:t>。</w:t>
      </w:r>
    </w:p>
    <w:p w:rsidR="00196BCB" w:rsidRPr="001C2A30" w:rsidRDefault="00A16DFE" w:rsidP="00A16DFE">
      <w:pPr>
        <w:spacing w:line="580" w:lineRule="exact"/>
        <w:ind w:left="585"/>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F6AA3" w:rsidRPr="001C2A30">
        <w:rPr>
          <w:rFonts w:ascii="仿宋_GB2312" w:eastAsia="仿宋_GB2312" w:hAnsi="仿宋_GB2312" w:cs="仿宋_GB2312" w:hint="eastAsia"/>
          <w:sz w:val="32"/>
          <w:szCs w:val="32"/>
        </w:rPr>
        <w:t>资产管理</w:t>
      </w:r>
    </w:p>
    <w:p w:rsidR="00196BCB" w:rsidRPr="001C2A30" w:rsidRDefault="004F6AA3">
      <w:pPr>
        <w:spacing w:line="580" w:lineRule="exact"/>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 xml:space="preserve">    市福彩中心制定了《北京市福利彩票发行中心固定资产管理办法》对全部资产实施严格规范管理。资产由财务部门进行账务管理，后勤和资产管理部设置专人进行资产实物卡片管理及使用情况监督。固定资产采购完成后，后勤和资产管理部开具固定资产明细单，登记固定资产卡片，办理报销手续和使用单位领用手续；资金管理部根据固定资产明细单登记固定资产总账和明细账。后勤和资产管理部组织对资产实物定期进行盘点，保证账务、实物相符。固定资产如有丢失或超过使用年限不能使用等情况，由使用部门提出报废申请，后勤和资产管理部按照资产分类，组织对固定资产报废必要性做出鉴定，如确需报废由后勤和资产管理部会同资金管理部按报废相关流程报告有关部门进行处置。中心资产保存完整、使用合规、配置合理，资产运行安全，通过市财政局的资产管理系统严格管理资产卡片，确保资产资料完整，真实地反映和监督资产的增减变动和实际情况，建立健全资产账簿体系；根据《行政事业性国有资产管理条例》，登记</w:t>
      </w:r>
      <w:r w:rsidRPr="001C2A30">
        <w:rPr>
          <w:rFonts w:ascii="仿宋_GB2312" w:eastAsia="仿宋_GB2312" w:hAnsi="仿宋_GB2312" w:cs="仿宋_GB2312" w:hint="eastAsia"/>
          <w:sz w:val="32"/>
          <w:szCs w:val="32"/>
        </w:rPr>
        <w:lastRenderedPageBreak/>
        <w:t>国有资产台账、编制行政事业性国有资产管理情况报告、定期盘点资产、及时办理资产权属登记等。</w:t>
      </w:r>
    </w:p>
    <w:p w:rsidR="00196BCB" w:rsidRPr="001C2A30" w:rsidRDefault="00A16DFE">
      <w:pPr>
        <w:spacing w:line="580" w:lineRule="exact"/>
        <w:ind w:leftChars="50" w:left="10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4F6AA3" w:rsidRPr="001C2A30">
        <w:rPr>
          <w:rFonts w:ascii="仿宋_GB2312" w:eastAsia="仿宋_GB2312" w:hAnsi="仿宋_GB2312" w:cs="仿宋_GB2312" w:hint="eastAsia"/>
          <w:sz w:val="32"/>
          <w:szCs w:val="32"/>
        </w:rPr>
        <w:t>绩效管理</w:t>
      </w:r>
    </w:p>
    <w:p w:rsidR="00196BCB" w:rsidRPr="001C2A30" w:rsidRDefault="004F6AA3">
      <w:pPr>
        <w:spacing w:line="580" w:lineRule="exact"/>
        <w:ind w:leftChars="50" w:left="105" w:firstLineChars="150" w:firstLine="480"/>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根据《北京市预算绩效管理办法》要求，市福彩中心着力从目标制定、预算编制、预算审批、预算执行、分析与调整、绩效考核、循环改善等方面完善预算管理流程，逐步建立全方位、全过程、全覆盖的预算绩效管理体系。一是绩效目标管理。中心将绩效目标设置作为预算安排的前置条件，由业务部门根据工作需求及拟实施的项目情况编制绩效目标申报表，委托第三方机构对绩效目标的规范性、完整性、适应性及预算资金的匹配性等进行评审，基本做到了绩效目标与预算同步上报、下达。二是绩效运行监控。中心结合内控管理对绩效目标实现程度和预算执行进度实行“双监控”，联合第三方机构对项目进展、资金使用、绩效目标实现进行专项检查，发现问题及时分析反馈，第一时间整改纠正。三是绩效评价管理。通过部门自评和第三方评价相结合的方式，对预算执行情况进行绩效评价管理。</w:t>
      </w:r>
    </w:p>
    <w:p w:rsidR="00196BCB" w:rsidRPr="001C2A30" w:rsidRDefault="00A16DFE">
      <w:pPr>
        <w:spacing w:line="580" w:lineRule="exact"/>
        <w:ind w:leftChars="50" w:left="10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F6AA3" w:rsidRPr="001C2A30">
        <w:rPr>
          <w:rFonts w:ascii="仿宋_GB2312" w:eastAsia="仿宋_GB2312" w:hAnsi="仿宋_GB2312" w:cs="仿宋_GB2312" w:hint="eastAsia"/>
          <w:sz w:val="32"/>
          <w:szCs w:val="32"/>
        </w:rPr>
        <w:t>结转结余率</w:t>
      </w:r>
    </w:p>
    <w:p w:rsidR="00196BCB" w:rsidRPr="00A83951" w:rsidRDefault="004F6AA3">
      <w:pPr>
        <w:spacing w:line="580" w:lineRule="exact"/>
        <w:ind w:leftChars="50" w:left="105" w:firstLineChars="150" w:firstLine="480"/>
        <w:rPr>
          <w:rFonts w:ascii="仿宋_GB2312" w:eastAsia="仿宋_GB2312" w:hAnsi="Times New Roman" w:cs="Times New Roman"/>
          <w:sz w:val="32"/>
          <w:szCs w:val="32"/>
        </w:rPr>
      </w:pPr>
      <w:r w:rsidRPr="00A83951">
        <w:rPr>
          <w:rFonts w:ascii="仿宋_GB2312" w:eastAsia="仿宋_GB2312" w:hAnsi="Times New Roman" w:cs="Times New Roman" w:hint="eastAsia"/>
          <w:sz w:val="32"/>
          <w:szCs w:val="32"/>
        </w:rPr>
        <w:t>2021年，市福彩中心结转结余总额为2294.14万元，其中财政核拨资金结转40万元，其他资金结余2254.14万元，结转结余率为15.61%。按照财政部门预算编制要求，中心将逐年在预算项目编制中列支消化结余资金。</w:t>
      </w:r>
    </w:p>
    <w:p w:rsidR="00A16DFE" w:rsidRPr="00A16DFE" w:rsidRDefault="00A83951" w:rsidP="00A83951">
      <w:pPr>
        <w:spacing w:line="60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4F6AA3" w:rsidRPr="001C2A30">
        <w:rPr>
          <w:rFonts w:ascii="仿宋_GB2312" w:eastAsia="仿宋_GB2312" w:hAnsi="仿宋_GB2312" w:cs="仿宋_GB2312" w:hint="eastAsia"/>
          <w:sz w:val="32"/>
          <w:szCs w:val="32"/>
        </w:rPr>
        <w:t>部门预决算差异率</w:t>
      </w:r>
    </w:p>
    <w:p w:rsidR="00196BCB" w:rsidRPr="001C2A30" w:rsidRDefault="004F6AA3">
      <w:pPr>
        <w:spacing w:line="600" w:lineRule="exact"/>
        <w:jc w:val="center"/>
        <w:rPr>
          <w:rFonts w:ascii="仿宋_GB2312" w:eastAsia="仿宋_GB2312" w:hAnsi="宋体" w:cs="宋体"/>
          <w:b/>
          <w:bCs/>
          <w:color w:val="000000"/>
          <w:kern w:val="0"/>
          <w:sz w:val="32"/>
          <w:szCs w:val="32"/>
        </w:rPr>
      </w:pPr>
      <w:r w:rsidRPr="001C2A30">
        <w:rPr>
          <w:rFonts w:ascii="仿宋_GB2312" w:eastAsia="仿宋_GB2312" w:hAnsi="宋体" w:cs="宋体" w:hint="eastAsia"/>
          <w:b/>
          <w:bCs/>
          <w:color w:val="000000"/>
          <w:kern w:val="0"/>
          <w:sz w:val="32"/>
          <w:szCs w:val="32"/>
        </w:rPr>
        <w:lastRenderedPageBreak/>
        <w:t>2021年收入预决算差异率</w:t>
      </w:r>
    </w:p>
    <w:p w:rsidR="00196BCB" w:rsidRPr="001C2A30" w:rsidRDefault="004F6AA3" w:rsidP="00A16DFE">
      <w:pPr>
        <w:ind w:firstLineChars="2050" w:firstLine="6560"/>
        <w:rPr>
          <w:rFonts w:ascii="仿宋_GB2312" w:eastAsia="仿宋_GB2312" w:hAnsi="华文仿宋"/>
          <w:sz w:val="32"/>
          <w:szCs w:val="32"/>
        </w:rPr>
      </w:pPr>
      <w:r w:rsidRPr="001C2A30">
        <w:rPr>
          <w:rFonts w:ascii="仿宋_GB2312" w:eastAsia="仿宋_GB2312" w:hAnsi="宋体" w:cs="宋体" w:hint="eastAsia"/>
          <w:sz w:val="32"/>
          <w:szCs w:val="32"/>
        </w:rPr>
        <w:t>单位：万元</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980"/>
        <w:gridCol w:w="1949"/>
        <w:gridCol w:w="1666"/>
      </w:tblGrid>
      <w:tr w:rsidR="00196BCB" w:rsidRPr="001C2A30" w:rsidTr="00915FFA">
        <w:trPr>
          <w:trHeight w:val="420"/>
          <w:tblHeader/>
          <w:jc w:val="center"/>
        </w:trPr>
        <w:tc>
          <w:tcPr>
            <w:tcW w:w="3022"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收入项目</w:t>
            </w:r>
          </w:p>
        </w:tc>
        <w:tc>
          <w:tcPr>
            <w:tcW w:w="1980"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预算收入</w:t>
            </w:r>
          </w:p>
        </w:tc>
        <w:tc>
          <w:tcPr>
            <w:tcW w:w="1949"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决算收入</w:t>
            </w:r>
          </w:p>
        </w:tc>
        <w:tc>
          <w:tcPr>
            <w:tcW w:w="1666"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差异率</w:t>
            </w:r>
          </w:p>
        </w:tc>
      </w:tr>
      <w:tr w:rsidR="00196BCB" w:rsidRPr="001C2A30" w:rsidTr="00915FFA">
        <w:trPr>
          <w:trHeight w:val="420"/>
          <w:jc w:val="center"/>
        </w:trPr>
        <w:tc>
          <w:tcPr>
            <w:tcW w:w="302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财政拨款收入</w:t>
            </w:r>
          </w:p>
        </w:tc>
        <w:tc>
          <w:tcPr>
            <w:tcW w:w="1980"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 xml:space="preserve">2800.20 </w:t>
            </w:r>
          </w:p>
        </w:tc>
        <w:tc>
          <w:tcPr>
            <w:tcW w:w="194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2800.20</w:t>
            </w:r>
          </w:p>
        </w:tc>
        <w:tc>
          <w:tcPr>
            <w:tcW w:w="1666"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0.00%</w:t>
            </w:r>
          </w:p>
        </w:tc>
      </w:tr>
      <w:tr w:rsidR="00196BCB" w:rsidRPr="001C2A30" w:rsidTr="00915FFA">
        <w:trPr>
          <w:trHeight w:val="420"/>
          <w:jc w:val="center"/>
        </w:trPr>
        <w:tc>
          <w:tcPr>
            <w:tcW w:w="302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使用结余资金和事业基金安排下年度预算</w:t>
            </w:r>
          </w:p>
        </w:tc>
        <w:tc>
          <w:tcPr>
            <w:tcW w:w="1980"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10787.88</w:t>
            </w:r>
          </w:p>
        </w:tc>
        <w:tc>
          <w:tcPr>
            <w:tcW w:w="194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10169.34</w:t>
            </w:r>
          </w:p>
        </w:tc>
        <w:tc>
          <w:tcPr>
            <w:tcW w:w="1666"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-5.73%</w:t>
            </w:r>
          </w:p>
        </w:tc>
      </w:tr>
      <w:tr w:rsidR="00196BCB" w:rsidRPr="001C2A30" w:rsidTr="00915FFA">
        <w:trPr>
          <w:trHeight w:val="420"/>
          <w:jc w:val="center"/>
        </w:trPr>
        <w:tc>
          <w:tcPr>
            <w:tcW w:w="302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其他资金收入</w:t>
            </w:r>
          </w:p>
        </w:tc>
        <w:tc>
          <w:tcPr>
            <w:tcW w:w="1980"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 xml:space="preserve">300.00 </w:t>
            </w:r>
          </w:p>
        </w:tc>
        <w:tc>
          <w:tcPr>
            <w:tcW w:w="194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2554.85</w:t>
            </w:r>
          </w:p>
        </w:tc>
        <w:tc>
          <w:tcPr>
            <w:tcW w:w="1666"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751.62%</w:t>
            </w:r>
          </w:p>
        </w:tc>
      </w:tr>
      <w:tr w:rsidR="00196BCB" w:rsidRPr="001C2A30" w:rsidTr="00915FFA">
        <w:trPr>
          <w:trHeight w:val="420"/>
          <w:jc w:val="center"/>
        </w:trPr>
        <w:tc>
          <w:tcPr>
            <w:tcW w:w="302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继续使用财政性结转资金</w:t>
            </w:r>
          </w:p>
        </w:tc>
        <w:tc>
          <w:tcPr>
            <w:tcW w:w="1980"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 xml:space="preserve">812 </w:t>
            </w:r>
          </w:p>
        </w:tc>
        <w:tc>
          <w:tcPr>
            <w:tcW w:w="194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812</w:t>
            </w:r>
          </w:p>
        </w:tc>
        <w:tc>
          <w:tcPr>
            <w:tcW w:w="1666"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0.00%</w:t>
            </w:r>
          </w:p>
        </w:tc>
      </w:tr>
      <w:tr w:rsidR="00196BCB" w:rsidRPr="001C2A30" w:rsidTr="00915FFA">
        <w:trPr>
          <w:trHeight w:val="420"/>
          <w:jc w:val="center"/>
        </w:trPr>
        <w:tc>
          <w:tcPr>
            <w:tcW w:w="302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总 收 入</w:t>
            </w:r>
          </w:p>
        </w:tc>
        <w:tc>
          <w:tcPr>
            <w:tcW w:w="1980"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14700.08</w:t>
            </w:r>
          </w:p>
        </w:tc>
        <w:tc>
          <w:tcPr>
            <w:tcW w:w="194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16336.39</w:t>
            </w:r>
          </w:p>
        </w:tc>
        <w:tc>
          <w:tcPr>
            <w:tcW w:w="1666"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111.31%</w:t>
            </w:r>
          </w:p>
        </w:tc>
      </w:tr>
    </w:tbl>
    <w:p w:rsidR="00196BCB" w:rsidRPr="001C2A30" w:rsidRDefault="00196BCB">
      <w:pPr>
        <w:spacing w:line="600" w:lineRule="exact"/>
        <w:jc w:val="center"/>
        <w:rPr>
          <w:rFonts w:ascii="仿宋_GB2312" w:eastAsia="仿宋_GB2312" w:hAnsi="宋体" w:cs="宋体"/>
          <w:b/>
          <w:bCs/>
          <w:color w:val="000000"/>
          <w:kern w:val="0"/>
          <w:sz w:val="32"/>
          <w:szCs w:val="32"/>
        </w:rPr>
      </w:pPr>
    </w:p>
    <w:p w:rsidR="00915FFA" w:rsidRDefault="004F6AA3" w:rsidP="00915FFA">
      <w:pPr>
        <w:spacing w:line="600" w:lineRule="exact"/>
        <w:jc w:val="center"/>
        <w:rPr>
          <w:rFonts w:ascii="仿宋_GB2312" w:eastAsia="仿宋_GB2312" w:hAnsi="宋体" w:cs="宋体"/>
          <w:b/>
          <w:bCs/>
          <w:color w:val="000000"/>
          <w:kern w:val="0"/>
          <w:sz w:val="32"/>
          <w:szCs w:val="32"/>
        </w:rPr>
      </w:pPr>
      <w:r w:rsidRPr="001C2A30">
        <w:rPr>
          <w:rFonts w:ascii="仿宋_GB2312" w:eastAsia="仿宋_GB2312" w:hAnsi="宋体" w:cs="宋体" w:hint="eastAsia"/>
          <w:b/>
          <w:bCs/>
          <w:color w:val="000000"/>
          <w:kern w:val="0"/>
          <w:sz w:val="32"/>
          <w:szCs w:val="32"/>
        </w:rPr>
        <w:t>2021年支出预决算差异率</w:t>
      </w:r>
    </w:p>
    <w:p w:rsidR="00196BCB" w:rsidRPr="00915FFA" w:rsidRDefault="00915FFA" w:rsidP="00915FFA">
      <w:pPr>
        <w:spacing w:line="600" w:lineRule="exact"/>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r w:rsidR="004F6AA3" w:rsidRPr="001C2A30">
        <w:rPr>
          <w:rFonts w:ascii="仿宋_GB2312" w:eastAsia="仿宋_GB2312" w:hAnsi="宋体" w:cs="宋体" w:hint="eastAsia"/>
          <w:sz w:val="32"/>
          <w:szCs w:val="32"/>
        </w:rPr>
        <w:t>单位：万元</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1882"/>
        <w:gridCol w:w="1954"/>
        <w:gridCol w:w="1559"/>
      </w:tblGrid>
      <w:tr w:rsidR="00196BCB" w:rsidRPr="001C2A30" w:rsidTr="00915FFA">
        <w:trPr>
          <w:trHeight w:val="420"/>
          <w:tblHeader/>
          <w:jc w:val="center"/>
        </w:trPr>
        <w:tc>
          <w:tcPr>
            <w:tcW w:w="2915"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支出项目</w:t>
            </w:r>
          </w:p>
        </w:tc>
        <w:tc>
          <w:tcPr>
            <w:tcW w:w="1882"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预算支出</w:t>
            </w:r>
          </w:p>
        </w:tc>
        <w:tc>
          <w:tcPr>
            <w:tcW w:w="1954"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决算支出</w:t>
            </w:r>
          </w:p>
        </w:tc>
        <w:tc>
          <w:tcPr>
            <w:tcW w:w="1559" w:type="dxa"/>
            <w:shd w:val="clear" w:color="auto" w:fill="B8CCE4"/>
            <w:vAlign w:val="center"/>
          </w:tcPr>
          <w:p w:rsidR="00196BCB" w:rsidRPr="001C2A30" w:rsidRDefault="004F6AA3">
            <w:pPr>
              <w:jc w:val="center"/>
              <w:rPr>
                <w:rFonts w:ascii="仿宋_GB2312" w:eastAsia="仿宋_GB2312" w:hAnsi="宋体"/>
                <w:color w:val="000000"/>
                <w:sz w:val="32"/>
                <w:szCs w:val="32"/>
              </w:rPr>
            </w:pPr>
            <w:r w:rsidRPr="001C2A30">
              <w:rPr>
                <w:rFonts w:ascii="仿宋_GB2312" w:eastAsia="仿宋_GB2312" w:hAnsi="宋体" w:hint="eastAsia"/>
                <w:color w:val="000000"/>
                <w:sz w:val="32"/>
                <w:szCs w:val="32"/>
              </w:rPr>
              <w:t>差异率</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基本经费支出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2210.20</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2170.91</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-1.78%</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其中：工资福利支出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1886.67</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1886.66</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0.00%</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商品及服务支出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282.43</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243.18</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-13.90%</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个人及家庭支出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41.10</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41.06</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-0.10%</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项目经费支出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12489.88</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11871.34</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-4.95%</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其中：财政拨款</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1402.00</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1402.00</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0%</w:t>
            </w:r>
          </w:p>
        </w:tc>
      </w:tr>
      <w:tr w:rsidR="00196BCB" w:rsidRPr="007B7EBE"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使用以前年度结余和事业基金安排预算</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10787.88</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10169.34</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-5.73%</w:t>
            </w:r>
          </w:p>
        </w:tc>
      </w:tr>
      <w:tr w:rsidR="00196BCB" w:rsidRPr="001C2A30"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lastRenderedPageBreak/>
              <w:t>其他资金支出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300.00</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300.00</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0.00%</w:t>
            </w:r>
          </w:p>
        </w:tc>
      </w:tr>
      <w:tr w:rsidR="00196BCB" w:rsidRPr="001C2A30" w:rsidTr="00915FFA">
        <w:trPr>
          <w:trHeight w:val="420"/>
          <w:jc w:val="center"/>
        </w:trPr>
        <w:tc>
          <w:tcPr>
            <w:tcW w:w="2915"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总 支 出</w:t>
            </w:r>
          </w:p>
        </w:tc>
        <w:tc>
          <w:tcPr>
            <w:tcW w:w="1882"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14700.08</w:t>
            </w:r>
          </w:p>
        </w:tc>
        <w:tc>
          <w:tcPr>
            <w:tcW w:w="1954"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14042.25</w:t>
            </w:r>
          </w:p>
        </w:tc>
        <w:tc>
          <w:tcPr>
            <w:tcW w:w="1559" w:type="dxa"/>
            <w:vAlign w:val="center"/>
          </w:tcPr>
          <w:p w:rsidR="00196BCB" w:rsidRPr="007B7EBE" w:rsidRDefault="004F6AA3">
            <w:pPr>
              <w:jc w:val="center"/>
              <w:rPr>
                <w:rFonts w:ascii="仿宋_GB2312" w:eastAsia="仿宋_GB2312" w:hAnsi="宋体"/>
                <w:color w:val="000000"/>
                <w:sz w:val="28"/>
                <w:szCs w:val="28"/>
              </w:rPr>
            </w:pPr>
            <w:r w:rsidRPr="007B7EBE">
              <w:rPr>
                <w:rFonts w:ascii="仿宋_GB2312" w:eastAsia="仿宋_GB2312" w:hAnsi="宋体" w:hint="eastAsia"/>
                <w:color w:val="000000"/>
                <w:sz w:val="28"/>
                <w:szCs w:val="28"/>
              </w:rPr>
              <w:t>-4.48%</w:t>
            </w:r>
          </w:p>
        </w:tc>
      </w:tr>
    </w:tbl>
    <w:p w:rsidR="00196BCB" w:rsidRPr="001C2A30" w:rsidRDefault="004F6AA3" w:rsidP="00915FFA">
      <w:pPr>
        <w:spacing w:line="580" w:lineRule="exact"/>
        <w:ind w:firstLineChars="221" w:firstLine="707"/>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鉴于市福彩中心的预算编制原则为“以收定支”，根据往年销量及市场情况预估年度销量。由于彩票销售是市场行为，往来资金量及兑奖金额均无法准确估算，造成决算数与预算数存在一定差额。此外，决算收入大于预算收入，主要原因为中心当年其他收入增加，主要包括银行存款利息收入和代征个税税收返还手续费收入。</w:t>
      </w:r>
    </w:p>
    <w:p w:rsidR="00196BCB" w:rsidRPr="00D43A19" w:rsidRDefault="00D43A19" w:rsidP="00D43A19">
      <w:pPr>
        <w:pStyle w:val="a0"/>
        <w:spacing w:line="580" w:lineRule="exact"/>
        <w:ind w:firstLineChars="221" w:firstLine="707"/>
        <w:rPr>
          <w:rFonts w:ascii="黑体" w:eastAsia="黑体" w:hAnsi="黑体" w:cs="仿宋_GB2312"/>
          <w:sz w:val="32"/>
          <w:szCs w:val="32"/>
        </w:rPr>
      </w:pPr>
      <w:r w:rsidRPr="00D43A19">
        <w:rPr>
          <w:rFonts w:ascii="黑体" w:eastAsia="黑体" w:hAnsi="黑体" w:cs="仿宋_GB2312" w:hint="eastAsia"/>
          <w:sz w:val="32"/>
          <w:szCs w:val="32"/>
        </w:rPr>
        <w:t>五</w:t>
      </w:r>
      <w:r w:rsidRPr="00D43A19">
        <w:rPr>
          <w:rFonts w:ascii="黑体" w:eastAsia="黑体" w:hAnsi="黑体" w:cs="仿宋_GB2312"/>
          <w:sz w:val="32"/>
          <w:szCs w:val="32"/>
        </w:rPr>
        <w:t>、</w:t>
      </w:r>
      <w:r w:rsidR="004F6AA3" w:rsidRPr="00D43A19">
        <w:rPr>
          <w:rFonts w:ascii="黑体" w:eastAsia="黑体" w:hAnsi="黑体" w:cs="仿宋_GB2312" w:hint="eastAsia"/>
          <w:sz w:val="32"/>
          <w:szCs w:val="32"/>
        </w:rPr>
        <w:t>总体评价结论</w:t>
      </w:r>
    </w:p>
    <w:p w:rsidR="00196BCB" w:rsidRPr="001C2A30" w:rsidRDefault="00D43A19">
      <w:pPr>
        <w:pStyle w:val="a0"/>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w:t>
      </w:r>
      <w:r w:rsidR="004F6AA3" w:rsidRPr="001C2A30">
        <w:rPr>
          <w:rFonts w:ascii="仿宋_GB2312" w:eastAsia="仿宋_GB2312" w:hAnsi="仿宋_GB2312" w:cs="仿宋_GB2312" w:hint="eastAsia"/>
          <w:sz w:val="32"/>
          <w:szCs w:val="32"/>
        </w:rPr>
        <w:t>评价得分情况</w:t>
      </w:r>
    </w:p>
    <w:p w:rsidR="00196BCB" w:rsidRPr="00AC4D10" w:rsidRDefault="004F6AA3">
      <w:pPr>
        <w:pStyle w:val="a0"/>
        <w:spacing w:line="580" w:lineRule="exact"/>
        <w:ind w:firstLine="640"/>
        <w:rPr>
          <w:rFonts w:ascii="仿宋_GB2312" w:eastAsia="仿宋_GB2312" w:hAnsi="Times New Roman" w:cs="Times New Roman"/>
          <w:sz w:val="32"/>
          <w:szCs w:val="32"/>
        </w:rPr>
      </w:pPr>
      <w:r w:rsidRPr="001C2A30">
        <w:rPr>
          <w:rFonts w:ascii="仿宋_GB2312" w:eastAsia="仿宋_GB2312" w:hAnsi="仿宋_GB2312" w:cs="仿宋_GB2312" w:hint="eastAsia"/>
          <w:sz w:val="32"/>
          <w:szCs w:val="32"/>
        </w:rPr>
        <w:t>市福彩中心本次绩效自评得分为</w:t>
      </w:r>
      <w:r w:rsidRPr="00AC4D10">
        <w:rPr>
          <w:rFonts w:ascii="仿宋_GB2312" w:eastAsia="仿宋_GB2312" w:hAnsi="Times New Roman" w:cs="Times New Roman" w:hint="eastAsia"/>
          <w:sz w:val="32"/>
          <w:szCs w:val="32"/>
        </w:rPr>
        <w:t>94.6分，部门整体绩效评价指标体系评分结果为“优”。得分情况具体分析如下：</w:t>
      </w:r>
    </w:p>
    <w:p w:rsidR="00196BCB" w:rsidRPr="00AC4D10" w:rsidRDefault="004F6AA3">
      <w:pPr>
        <w:pStyle w:val="a0"/>
        <w:spacing w:line="580" w:lineRule="exact"/>
        <w:ind w:firstLine="640"/>
        <w:rPr>
          <w:rFonts w:ascii="仿宋_GB2312" w:eastAsia="仿宋_GB2312" w:hAnsi="Times New Roman" w:cs="Times New Roman"/>
          <w:sz w:val="32"/>
          <w:szCs w:val="32"/>
        </w:rPr>
      </w:pPr>
      <w:r w:rsidRPr="00AC4D10">
        <w:rPr>
          <w:rFonts w:ascii="仿宋_GB2312" w:eastAsia="仿宋_GB2312" w:hAnsi="Times New Roman" w:cs="Times New Roman" w:hint="eastAsia"/>
          <w:sz w:val="32"/>
          <w:szCs w:val="32"/>
        </w:rPr>
        <w:t>预算执行指标总分20分，得分19分。预算执行情况整体较好，预算支出金额受彩票销售、项目开展情况影响较大，财政资金使用的及时性和均衡性有待进一步提升。</w:t>
      </w:r>
    </w:p>
    <w:p w:rsidR="00196BCB" w:rsidRPr="00AC4D10" w:rsidRDefault="004F6AA3">
      <w:pPr>
        <w:pStyle w:val="a0"/>
        <w:spacing w:line="580" w:lineRule="exact"/>
        <w:ind w:firstLine="640"/>
        <w:rPr>
          <w:rFonts w:ascii="仿宋_GB2312" w:eastAsia="仿宋_GB2312" w:hAnsi="Times New Roman" w:cs="Times New Roman"/>
          <w:sz w:val="32"/>
          <w:szCs w:val="32"/>
        </w:rPr>
      </w:pPr>
      <w:r w:rsidRPr="00AC4D10">
        <w:rPr>
          <w:rFonts w:ascii="仿宋_GB2312" w:eastAsia="仿宋_GB2312" w:hAnsi="Times New Roman" w:cs="Times New Roman" w:hint="eastAsia"/>
          <w:sz w:val="32"/>
          <w:szCs w:val="32"/>
        </w:rPr>
        <w:t>整体绩效目标实现情况60分，得分56分。2021年销量大幅高于预期，公益金筹集能力进一步增强，存在的主要问题是市场开拓、公益宣传推广等方面还有提升的空间。</w:t>
      </w:r>
    </w:p>
    <w:p w:rsidR="00196BCB" w:rsidRPr="00AC4D10" w:rsidRDefault="004F6AA3">
      <w:pPr>
        <w:pStyle w:val="a0"/>
        <w:spacing w:line="580" w:lineRule="exact"/>
        <w:ind w:firstLine="640"/>
        <w:rPr>
          <w:rFonts w:ascii="仿宋_GB2312" w:eastAsia="仿宋_GB2312" w:hAnsi="Times New Roman" w:cs="Times New Roman"/>
          <w:sz w:val="32"/>
          <w:szCs w:val="32"/>
        </w:rPr>
      </w:pPr>
      <w:r w:rsidRPr="00AC4D10">
        <w:rPr>
          <w:rFonts w:ascii="仿宋_GB2312" w:eastAsia="仿宋_GB2312" w:hAnsi="Times New Roman" w:cs="Times New Roman" w:hint="eastAsia"/>
          <w:sz w:val="32"/>
          <w:szCs w:val="32"/>
        </w:rPr>
        <w:t>预算管理情况20分，得分19.6分。市福彩中心通过建立健全财务管理制度，提高资金使用的合规性和安全性，逐步加强绩效管理信息结果的应用，不断提高预算管理水平。</w:t>
      </w:r>
    </w:p>
    <w:p w:rsidR="00196BCB" w:rsidRPr="001C2A30" w:rsidRDefault="00D43A19">
      <w:pPr>
        <w:pStyle w:val="a0"/>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F6AA3" w:rsidRPr="001C2A30">
        <w:rPr>
          <w:rFonts w:ascii="仿宋_GB2312" w:eastAsia="仿宋_GB2312" w:hAnsi="仿宋_GB2312" w:cs="仿宋_GB2312" w:hint="eastAsia"/>
          <w:sz w:val="32"/>
          <w:szCs w:val="32"/>
        </w:rPr>
        <w:t>存在的问题及原因分析</w:t>
      </w:r>
    </w:p>
    <w:p w:rsidR="004E1CC6" w:rsidRDefault="004E1CC6">
      <w:pPr>
        <w:pStyle w:val="a0"/>
        <w:spacing w:line="580" w:lineRule="exact"/>
        <w:ind w:firstLine="640"/>
        <w:rPr>
          <w:rFonts w:ascii="仿宋_GB2312" w:eastAsia="仿宋_GB2312" w:hAnsi="仿宋_GB2312" w:cs="仿宋_GB2312"/>
          <w:sz w:val="32"/>
          <w:szCs w:val="32"/>
        </w:rPr>
      </w:pPr>
      <w:r w:rsidRPr="004E1CC6">
        <w:rPr>
          <w:rFonts w:ascii="仿宋_GB2312" w:eastAsia="仿宋_GB2312" w:hAnsi="Times New Roman" w:cs="Times New Roman" w:hint="eastAsia"/>
          <w:sz w:val="32"/>
          <w:szCs w:val="32"/>
        </w:rPr>
        <w:lastRenderedPageBreak/>
        <w:t>1.</w:t>
      </w:r>
      <w:r w:rsidR="004F6AA3" w:rsidRPr="001C2A30">
        <w:rPr>
          <w:rFonts w:ascii="仿宋_GB2312" w:eastAsia="仿宋_GB2312" w:hAnsi="仿宋_GB2312" w:cs="仿宋_GB2312" w:hint="eastAsia"/>
          <w:sz w:val="32"/>
          <w:szCs w:val="32"/>
        </w:rPr>
        <w:t>绩效管理目标设定有待进一步明确细化。</w:t>
      </w:r>
    </w:p>
    <w:p w:rsidR="00196BCB" w:rsidRPr="001C2A30" w:rsidRDefault="004F6AA3">
      <w:pPr>
        <w:pStyle w:val="a0"/>
        <w:spacing w:line="580" w:lineRule="exact"/>
        <w:ind w:firstLine="640"/>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整体绩效目标申报中，年度目标设置比较简单，细化不够。绩效目标是评价财政资金使用效益的核心，绩效目标不够细化导致难以真实反映财政资金的使用绩效，过程中也不利于有效开展绩效跟踪工作。</w:t>
      </w:r>
    </w:p>
    <w:p w:rsidR="004E1CC6" w:rsidRDefault="004E1CC6">
      <w:pPr>
        <w:pStyle w:val="a0"/>
        <w:spacing w:line="580" w:lineRule="exact"/>
        <w:ind w:firstLine="640"/>
        <w:rPr>
          <w:rFonts w:ascii="仿宋_GB2312" w:eastAsia="仿宋_GB2312" w:hAnsi="仿宋_GB2312" w:cs="仿宋_GB2312"/>
          <w:sz w:val="32"/>
          <w:szCs w:val="32"/>
        </w:rPr>
      </w:pPr>
      <w:r w:rsidRPr="004E1CC6">
        <w:rPr>
          <w:rFonts w:ascii="仿宋_GB2312" w:eastAsia="仿宋_GB2312" w:hAnsi="Times New Roman" w:cs="Times New Roman" w:hint="eastAsia"/>
          <w:sz w:val="32"/>
          <w:szCs w:val="32"/>
        </w:rPr>
        <w:t>2.</w:t>
      </w:r>
      <w:r w:rsidR="004F6AA3" w:rsidRPr="001C2A30">
        <w:rPr>
          <w:rFonts w:ascii="仿宋_GB2312" w:eastAsia="仿宋_GB2312" w:hAnsi="仿宋_GB2312" w:cs="仿宋_GB2312" w:hint="eastAsia"/>
          <w:sz w:val="32"/>
          <w:szCs w:val="32"/>
        </w:rPr>
        <w:t>预算编制和执行水平有待进一步提升。</w:t>
      </w:r>
    </w:p>
    <w:p w:rsidR="00196BCB" w:rsidRPr="001C2A30" w:rsidRDefault="004F6AA3">
      <w:pPr>
        <w:pStyle w:val="a0"/>
        <w:spacing w:line="580" w:lineRule="exact"/>
        <w:ind w:firstLine="640"/>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预算编制前期综合考虑不够周全，对政策性影响判断、项目的资金性质及支出计划把握还不够准确。项目跟踪推进及结转结余资金纳入预算安排的规划力度还需要进一步加强，综合预算编制和管理能力有待提高。</w:t>
      </w:r>
    </w:p>
    <w:p w:rsidR="00196BCB" w:rsidRPr="00D43A19" w:rsidRDefault="00D43A19">
      <w:pPr>
        <w:pStyle w:val="a0"/>
        <w:spacing w:line="580" w:lineRule="exact"/>
        <w:ind w:firstLine="640"/>
        <w:rPr>
          <w:rFonts w:ascii="黑体" w:eastAsia="黑体" w:hAnsi="黑体" w:cs="仿宋_GB2312"/>
          <w:sz w:val="32"/>
          <w:szCs w:val="32"/>
        </w:rPr>
      </w:pPr>
      <w:r w:rsidRPr="00D43A19">
        <w:rPr>
          <w:rFonts w:ascii="黑体" w:eastAsia="黑体" w:hAnsi="黑体" w:cs="仿宋_GB2312" w:hint="eastAsia"/>
          <w:sz w:val="32"/>
          <w:szCs w:val="32"/>
        </w:rPr>
        <w:t>六</w:t>
      </w:r>
      <w:r w:rsidRPr="00D43A19">
        <w:rPr>
          <w:rFonts w:ascii="黑体" w:eastAsia="黑体" w:hAnsi="黑体" w:cs="仿宋_GB2312"/>
          <w:sz w:val="32"/>
          <w:szCs w:val="32"/>
        </w:rPr>
        <w:t>、</w:t>
      </w:r>
      <w:r w:rsidR="004F6AA3" w:rsidRPr="00D43A19">
        <w:rPr>
          <w:rFonts w:ascii="黑体" w:eastAsia="黑体" w:hAnsi="黑体" w:cs="仿宋_GB2312" w:hint="eastAsia"/>
          <w:sz w:val="32"/>
          <w:szCs w:val="32"/>
        </w:rPr>
        <w:t>措施建议</w:t>
      </w:r>
    </w:p>
    <w:p w:rsidR="005B2A24" w:rsidRDefault="00D43A19">
      <w:pPr>
        <w:pStyle w:val="a0"/>
        <w:spacing w:line="580" w:lineRule="exact"/>
        <w:ind w:firstLine="640"/>
        <w:rPr>
          <w:rFonts w:ascii="仿宋_GB2312" w:eastAsia="仿宋_GB2312" w:hAnsi="仿宋_GB2312" w:cs="仿宋_GB2312"/>
          <w:sz w:val="32"/>
          <w:szCs w:val="32"/>
        </w:rPr>
      </w:pPr>
      <w:r w:rsidRPr="002C14C5">
        <w:rPr>
          <w:rFonts w:ascii="仿宋_GB2312" w:eastAsia="仿宋_GB2312" w:hAnsi="Times New Roman" w:cs="Times New Roman"/>
          <w:sz w:val="32"/>
          <w:szCs w:val="32"/>
        </w:rPr>
        <w:t>1.</w:t>
      </w:r>
      <w:r w:rsidR="004F6AA3" w:rsidRPr="001C2A30">
        <w:rPr>
          <w:rFonts w:ascii="仿宋_GB2312" w:eastAsia="仿宋_GB2312" w:hAnsi="仿宋_GB2312" w:cs="仿宋_GB2312" w:hint="eastAsia"/>
          <w:sz w:val="32"/>
          <w:szCs w:val="32"/>
        </w:rPr>
        <w:t>强化预算绩效管理意识，科学合理设置绩效目标。</w:t>
      </w:r>
    </w:p>
    <w:p w:rsidR="00196BCB" w:rsidRPr="001C2A30" w:rsidRDefault="004F6AA3">
      <w:pPr>
        <w:pStyle w:val="a0"/>
        <w:spacing w:line="580" w:lineRule="exact"/>
        <w:ind w:firstLine="640"/>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预算编制过程中，根据单位中长期规划和职能职责编制整体支出绩效目标，结合年度任务制定具体项目计划，明确各项目绩效目标，确保绩效目标具体、清晰、可衡量，为保障财政资金使用效益奠定基础。</w:t>
      </w:r>
    </w:p>
    <w:p w:rsidR="005B2A24" w:rsidRDefault="004F6AA3">
      <w:pPr>
        <w:pStyle w:val="a0"/>
        <w:spacing w:line="580" w:lineRule="exact"/>
        <w:ind w:firstLine="640"/>
        <w:rPr>
          <w:rFonts w:ascii="仿宋_GB2312" w:eastAsia="仿宋_GB2312" w:hAnsi="仿宋_GB2312" w:cs="仿宋_GB2312"/>
          <w:sz w:val="32"/>
          <w:szCs w:val="32"/>
        </w:rPr>
      </w:pPr>
      <w:bookmarkStart w:id="0" w:name="_GoBack"/>
      <w:r w:rsidRPr="002C14C5">
        <w:rPr>
          <w:rFonts w:ascii="仿宋_GB2312" w:eastAsia="仿宋_GB2312" w:hAnsi="Times New Roman" w:cs="Times New Roman" w:hint="eastAsia"/>
          <w:sz w:val="32"/>
          <w:szCs w:val="32"/>
        </w:rPr>
        <w:t>2.</w:t>
      </w:r>
      <w:bookmarkEnd w:id="0"/>
      <w:r w:rsidRPr="001C2A30">
        <w:rPr>
          <w:rFonts w:ascii="仿宋_GB2312" w:eastAsia="仿宋_GB2312" w:hAnsi="仿宋_GB2312" w:cs="仿宋_GB2312" w:hint="eastAsia"/>
          <w:sz w:val="32"/>
          <w:szCs w:val="32"/>
        </w:rPr>
        <w:t>提高预算编制和执行水平。</w:t>
      </w:r>
    </w:p>
    <w:p w:rsidR="00196BCB" w:rsidRPr="001C2A30" w:rsidRDefault="004F6AA3">
      <w:pPr>
        <w:pStyle w:val="a0"/>
        <w:spacing w:line="580" w:lineRule="exact"/>
        <w:ind w:firstLine="640"/>
        <w:rPr>
          <w:rFonts w:ascii="仿宋_GB2312" w:eastAsia="仿宋_GB2312" w:hAnsi="仿宋_GB2312" w:cs="仿宋_GB2312"/>
          <w:sz w:val="32"/>
          <w:szCs w:val="32"/>
        </w:rPr>
      </w:pPr>
      <w:r w:rsidRPr="001C2A30">
        <w:rPr>
          <w:rFonts w:ascii="仿宋_GB2312" w:eastAsia="仿宋_GB2312" w:hAnsi="仿宋_GB2312" w:cs="仿宋_GB2312" w:hint="eastAsia"/>
          <w:sz w:val="32"/>
          <w:szCs w:val="32"/>
        </w:rPr>
        <w:t>提高部门预算编制综合水平，进一步健全完善预算管理制度，调整和优化支出结构,合理配置资源，强化财务监督管理，提高项目预算执行率、政府采购率、降低结余结转率及预算调整率。切实强化预算执行管理，加强业务指导和监督检查，及时督促项目实施，协调解决实施中的难点和问题。</w:t>
      </w:r>
    </w:p>
    <w:p w:rsidR="00196BCB" w:rsidRPr="001C2A30" w:rsidRDefault="00196BCB">
      <w:pPr>
        <w:rPr>
          <w:rFonts w:ascii="仿宋_GB2312" w:eastAsia="仿宋_GB2312"/>
          <w:sz w:val="32"/>
          <w:szCs w:val="32"/>
        </w:rPr>
      </w:pPr>
    </w:p>
    <w:sectPr w:rsidR="00196BCB" w:rsidRPr="001C2A30" w:rsidSect="00B82A65">
      <w:pgSz w:w="11906" w:h="16838"/>
      <w:pgMar w:top="1440" w:right="1800" w:bottom="156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50" w:rsidRDefault="00E44750" w:rsidP="00386780">
      <w:r>
        <w:separator/>
      </w:r>
    </w:p>
  </w:endnote>
  <w:endnote w:type="continuationSeparator" w:id="0">
    <w:p w:rsidR="00E44750" w:rsidRDefault="00E44750" w:rsidP="003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50" w:rsidRDefault="00E44750" w:rsidP="00386780">
      <w:r>
        <w:separator/>
      </w:r>
    </w:p>
  </w:footnote>
  <w:footnote w:type="continuationSeparator" w:id="0">
    <w:p w:rsidR="00E44750" w:rsidRDefault="00E44750" w:rsidP="00386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F11A8"/>
    <w:multiLevelType w:val="singleLevel"/>
    <w:tmpl w:val="62FF11A8"/>
    <w:lvl w:ilvl="0">
      <w:start w:val="2"/>
      <w:numFmt w:val="decimal"/>
      <w:suff w:val="nothing"/>
      <w:lvlText w:val="%1."/>
      <w:lvlJc w:val="left"/>
    </w:lvl>
  </w:abstractNum>
  <w:abstractNum w:abstractNumId="1">
    <w:nsid w:val="62FF1237"/>
    <w:multiLevelType w:val="singleLevel"/>
    <w:tmpl w:val="62FF1237"/>
    <w:lvl w:ilvl="0">
      <w:start w:val="2"/>
      <w:numFmt w:val="decimal"/>
      <w:suff w:val="nothing"/>
      <w:lvlText w:val="（%1）"/>
      <w:lvlJc w:val="left"/>
    </w:lvl>
  </w:abstractNum>
  <w:abstractNum w:abstractNumId="2">
    <w:nsid w:val="62FF1492"/>
    <w:multiLevelType w:val="singleLevel"/>
    <w:tmpl w:val="62FF1492"/>
    <w:lvl w:ilvl="0">
      <w:start w:val="2"/>
      <w:numFmt w:val="decimal"/>
      <w:suff w:val="nothing"/>
      <w:lvlText w:val="（%1）"/>
      <w:lvlJc w:val="left"/>
    </w:lvl>
  </w:abstractNum>
  <w:abstractNum w:abstractNumId="3">
    <w:nsid w:val="62FF1764"/>
    <w:multiLevelType w:val="singleLevel"/>
    <w:tmpl w:val="62FF1764"/>
    <w:lvl w:ilvl="0">
      <w:start w:val="2"/>
      <w:numFmt w:val="decimal"/>
      <w:suff w:val="nothing"/>
      <w:lvlText w:val="（%1）"/>
      <w:lvlJc w:val="left"/>
    </w:lvl>
  </w:abstractNum>
  <w:abstractNum w:abstractNumId="4">
    <w:nsid w:val="62FF1DD7"/>
    <w:multiLevelType w:val="singleLevel"/>
    <w:tmpl w:val="62FF1DD7"/>
    <w:lvl w:ilvl="0">
      <w:start w:val="2"/>
      <w:numFmt w:val="decimal"/>
      <w:suff w:val="nothing"/>
      <w:lvlText w:val="%1."/>
      <w:lvlJc w:val="left"/>
    </w:lvl>
  </w:abstractNum>
  <w:abstractNum w:abstractNumId="5">
    <w:nsid w:val="62FF1E2D"/>
    <w:multiLevelType w:val="singleLevel"/>
    <w:tmpl w:val="62FF1E2D"/>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B5135"/>
    <w:rsid w:val="00043A36"/>
    <w:rsid w:val="000F7B04"/>
    <w:rsid w:val="00120DCE"/>
    <w:rsid w:val="001352A7"/>
    <w:rsid w:val="00196BCB"/>
    <w:rsid w:val="001C2A30"/>
    <w:rsid w:val="002C14C5"/>
    <w:rsid w:val="00386780"/>
    <w:rsid w:val="00386E6B"/>
    <w:rsid w:val="003B50DF"/>
    <w:rsid w:val="003F358B"/>
    <w:rsid w:val="004E1CC6"/>
    <w:rsid w:val="004F138A"/>
    <w:rsid w:val="004F6AA3"/>
    <w:rsid w:val="005625DB"/>
    <w:rsid w:val="005A1B62"/>
    <w:rsid w:val="005B2A24"/>
    <w:rsid w:val="005E1097"/>
    <w:rsid w:val="00641764"/>
    <w:rsid w:val="007B7EBE"/>
    <w:rsid w:val="007F07A8"/>
    <w:rsid w:val="00915FFA"/>
    <w:rsid w:val="00A16DFE"/>
    <w:rsid w:val="00A83951"/>
    <w:rsid w:val="00AC4D10"/>
    <w:rsid w:val="00B82A65"/>
    <w:rsid w:val="00D43A19"/>
    <w:rsid w:val="00D57B6A"/>
    <w:rsid w:val="00E056EC"/>
    <w:rsid w:val="00E44750"/>
    <w:rsid w:val="00E545F3"/>
    <w:rsid w:val="00E901F1"/>
    <w:rsid w:val="2FCB5135"/>
    <w:rsid w:val="5B7F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86AD04-AFF2-4075-9761-0464DC5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200"/>
    </w:pPr>
  </w:style>
  <w:style w:type="paragraph" w:styleId="a4">
    <w:name w:val="Balloon Text"/>
    <w:basedOn w:val="a"/>
    <w:link w:val="Char"/>
    <w:rsid w:val="004F6AA3"/>
    <w:rPr>
      <w:sz w:val="18"/>
      <w:szCs w:val="18"/>
    </w:rPr>
  </w:style>
  <w:style w:type="character" w:customStyle="1" w:styleId="Char">
    <w:name w:val="批注框文本 Char"/>
    <w:basedOn w:val="a1"/>
    <w:link w:val="a4"/>
    <w:rsid w:val="004F6AA3"/>
    <w:rPr>
      <w:kern w:val="2"/>
      <w:sz w:val="18"/>
      <w:szCs w:val="18"/>
    </w:rPr>
  </w:style>
  <w:style w:type="paragraph" w:styleId="a5">
    <w:name w:val="header"/>
    <w:basedOn w:val="a"/>
    <w:link w:val="Char0"/>
    <w:rsid w:val="003867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386780"/>
    <w:rPr>
      <w:kern w:val="2"/>
      <w:sz w:val="18"/>
      <w:szCs w:val="18"/>
    </w:rPr>
  </w:style>
  <w:style w:type="paragraph" w:styleId="a6">
    <w:name w:val="footer"/>
    <w:basedOn w:val="a"/>
    <w:link w:val="Char1"/>
    <w:rsid w:val="00386780"/>
    <w:pPr>
      <w:tabs>
        <w:tab w:val="center" w:pos="4153"/>
        <w:tab w:val="right" w:pos="8306"/>
      </w:tabs>
      <w:snapToGrid w:val="0"/>
      <w:jc w:val="left"/>
    </w:pPr>
    <w:rPr>
      <w:sz w:val="18"/>
      <w:szCs w:val="18"/>
    </w:rPr>
  </w:style>
  <w:style w:type="character" w:customStyle="1" w:styleId="Char1">
    <w:name w:val="页脚 Char"/>
    <w:basedOn w:val="a1"/>
    <w:link w:val="a6"/>
    <w:rsid w:val="003867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941</Words>
  <Characters>5364</Characters>
  <Application>Microsoft Office Word</Application>
  <DocSecurity>0</DocSecurity>
  <Lines>44</Lines>
  <Paragraphs>12</Paragraphs>
  <ScaleCrop>false</ScaleCrop>
  <Company>Microsoft</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wangli</cp:lastModifiedBy>
  <cp:revision>32</cp:revision>
  <cp:lastPrinted>2022-08-19T07:29:00Z</cp:lastPrinted>
  <dcterms:created xsi:type="dcterms:W3CDTF">2022-08-19T05:33:00Z</dcterms:created>
  <dcterms:modified xsi:type="dcterms:W3CDTF">2022-08-24T00:59:00Z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