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Default ContentType="image/png" Extension="png"/>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5" Type="http://schemas.microsoft.com/office/2006/relationships/ui/userCustomization" Target="userCustomization/customUI.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560" w:lineRule="exact"/>
        <w:jc w:val="center"/>
        <w:rPr>
          <w:rFonts w:hint="eastAsia" w:ascii="方正小标宋简体" w:eastAsia="方正小标宋简体"/>
          <w:color w:val="000000"/>
          <w:sz w:val="44"/>
          <w:szCs w:val="44"/>
          <w:highlight w:val="none"/>
        </w:rPr>
      </w:pPr>
      <w:r>
        <w:rPr>
          <w:rFonts w:hint="eastAsia" w:ascii="方正小标宋简体" w:eastAsia="方正小标宋简体"/>
          <w:color w:val="000000"/>
          <w:sz w:val="44"/>
          <w:szCs w:val="44"/>
          <w:highlight w:val="none"/>
        </w:rPr>
        <w:t>北京市儿童福利院2025年度单位预算信息公开</w:t>
      </w:r>
    </w:p>
    <w:p>
      <w:pPr>
        <w:spacing w:line="240" w:lineRule="exact"/>
        <w:jc w:val="center"/>
        <w:rPr>
          <w:rFonts w:hint="eastAsia" w:ascii="方正小标宋简体" w:eastAsia="方正小标宋简体"/>
          <w:color w:val="000000"/>
          <w:sz w:val="32"/>
          <w:szCs w:val="32"/>
          <w:highlight w:val="none"/>
        </w:rPr>
      </w:pPr>
    </w:p>
    <w:p>
      <w:pPr>
        <w:spacing w:line="560" w:lineRule="exact"/>
        <w:jc w:val="center"/>
        <w:rPr>
          <w:rFonts w:hint="eastAsia"/>
          <w:szCs w:val="32"/>
          <w:highlight w:val="none"/>
        </w:rPr>
      </w:pPr>
      <w:r>
        <w:rPr>
          <w:rFonts w:hint="eastAsia" w:ascii="方正小标宋简体" w:eastAsia="方正小标宋简体"/>
          <w:color w:val="000000"/>
          <w:sz w:val="32"/>
          <w:szCs w:val="32"/>
          <w:highlight w:val="none"/>
        </w:rPr>
        <w:t>目   录</w:t>
      </w:r>
    </w:p>
    <w:p>
      <w:pPr>
        <w:spacing w:line="240" w:lineRule="exact"/>
        <w:jc w:val="center"/>
        <w:rPr>
          <w:rFonts w:hint="eastAsia" w:ascii="方正小标宋简体" w:eastAsia="方正小标宋简体"/>
          <w:color w:val="000000"/>
          <w:sz w:val="32"/>
          <w:szCs w:val="32"/>
          <w:highlight w:val="none"/>
        </w:rPr>
      </w:pPr>
    </w:p>
    <w:p>
      <w:pPr>
        <w:spacing w:line="560" w:lineRule="exact"/>
        <w:rPr>
          <w:rFonts w:hint="eastAsia" w:ascii="黑体" w:hAnsi="黑体" w:eastAsia="黑体" w:cs="黑体"/>
          <w:color w:val="000000"/>
          <w:sz w:val="32"/>
          <w:szCs w:val="32"/>
          <w:highlight w:val="none"/>
        </w:rPr>
      </w:pPr>
      <w:r>
        <w:rPr>
          <w:rFonts w:hint="eastAsia" w:ascii="黑体" w:hAnsi="黑体" w:eastAsia="黑体" w:cs="黑体"/>
          <w:color w:val="000000"/>
          <w:sz w:val="32"/>
          <w:szCs w:val="32"/>
          <w:highlight w:val="none"/>
        </w:rPr>
        <w:t>第一部分 2025年度单位预算情况说明</w:t>
      </w:r>
    </w:p>
    <w:p>
      <w:pPr>
        <w:spacing w:line="560" w:lineRule="exact"/>
        <w:ind w:firstLine="640" w:firstLineChars="200"/>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sz w:val="32"/>
          <w:szCs w:val="32"/>
          <w:highlight w:val="none"/>
        </w:rPr>
        <w:t>一、单位情况说明</w:t>
      </w:r>
    </w:p>
    <w:p>
      <w:pPr>
        <w:spacing w:line="560" w:lineRule="exact"/>
        <w:ind w:firstLine="640" w:firstLineChars="200"/>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sz w:val="32"/>
          <w:szCs w:val="32"/>
          <w:highlight w:val="none"/>
        </w:rPr>
        <w:t>二、收入预算情况说明</w:t>
      </w:r>
    </w:p>
    <w:p>
      <w:pPr>
        <w:spacing w:line="560" w:lineRule="exact"/>
        <w:ind w:firstLine="640" w:firstLineChars="200"/>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sz w:val="32"/>
          <w:szCs w:val="32"/>
          <w:highlight w:val="none"/>
        </w:rPr>
        <w:t>三、支出预算情况说明</w:t>
      </w:r>
    </w:p>
    <w:p>
      <w:pPr>
        <w:spacing w:line="560" w:lineRule="exact"/>
        <w:ind w:firstLine="640" w:firstLineChars="200"/>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sz w:val="32"/>
          <w:szCs w:val="32"/>
          <w:highlight w:val="none"/>
        </w:rPr>
        <w:t>四、财政拨款“三公”经费预算情况说明</w:t>
      </w:r>
    </w:p>
    <w:p>
      <w:pPr>
        <w:spacing w:line="560" w:lineRule="exact"/>
        <w:ind w:firstLine="640" w:firstLineChars="200"/>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sz w:val="32"/>
          <w:szCs w:val="32"/>
          <w:highlight w:val="none"/>
        </w:rPr>
        <w:t>五、其他情况说</w:t>
      </w:r>
      <w:bookmarkStart w:id="1" w:name="_GoBack"/>
      <w:bookmarkEnd w:id="1"/>
      <w:r>
        <w:rPr>
          <w:rFonts w:hint="eastAsia" w:ascii="仿宋_GB2312" w:hAnsi="仿宋_GB2312" w:eastAsia="仿宋_GB2312" w:cs="仿宋_GB2312"/>
          <w:color w:val="000000"/>
          <w:sz w:val="32"/>
          <w:szCs w:val="32"/>
          <w:highlight w:val="none"/>
        </w:rPr>
        <w:t>明</w:t>
      </w:r>
    </w:p>
    <w:p>
      <w:pPr>
        <w:spacing w:line="560" w:lineRule="exact"/>
        <w:ind w:firstLine="640" w:firstLineChars="200"/>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sz w:val="32"/>
          <w:szCs w:val="32"/>
          <w:highlight w:val="none"/>
        </w:rPr>
        <w:t>六、名词解释</w:t>
      </w:r>
    </w:p>
    <w:p>
      <w:pPr>
        <w:spacing w:line="560" w:lineRule="exact"/>
        <w:rPr>
          <w:rFonts w:hint="eastAsia" w:ascii="黑体" w:hAnsi="黑体" w:eastAsia="黑体" w:cs="黑体"/>
          <w:color w:val="000000"/>
          <w:sz w:val="32"/>
          <w:szCs w:val="32"/>
          <w:highlight w:val="none"/>
        </w:rPr>
      </w:pPr>
      <w:r>
        <w:rPr>
          <w:rFonts w:hint="eastAsia" w:ascii="黑体" w:hAnsi="黑体" w:eastAsia="黑体" w:cs="黑体"/>
          <w:color w:val="000000"/>
          <w:sz w:val="32"/>
          <w:szCs w:val="32"/>
          <w:highlight w:val="none"/>
        </w:rPr>
        <w:t>第二部分 2025年度单位预算报表</w:t>
      </w:r>
    </w:p>
    <w:p>
      <w:pPr>
        <w:autoSpaceDE w:val="0"/>
        <w:autoSpaceDN w:val="0"/>
        <w:adjustRightInd w:val="0"/>
        <w:spacing w:line="560" w:lineRule="exact"/>
        <w:ind w:firstLine="640" w:firstLineChars="200"/>
        <w:jc w:val="left"/>
        <w:rPr>
          <w:rFonts w:hint="eastAsia" w:ascii="仿宋_GB2312" w:hAnsi="仿宋_GB2312" w:eastAsia="仿宋_GB2312" w:cs="仿宋_GB2312"/>
          <w:color w:val="000000"/>
          <w:kern w:val="0"/>
          <w:sz w:val="32"/>
          <w:szCs w:val="32"/>
          <w:highlight w:val="none"/>
          <w:lang w:val="zh-CN"/>
        </w:rPr>
      </w:pPr>
      <w:r>
        <w:rPr>
          <w:rFonts w:hint="eastAsia" w:ascii="仿宋_GB2312" w:hAnsi="仿宋_GB2312" w:eastAsia="仿宋_GB2312" w:cs="仿宋_GB2312"/>
          <w:color w:val="000000"/>
          <w:kern w:val="0"/>
          <w:sz w:val="32"/>
          <w:szCs w:val="32"/>
          <w:highlight w:val="none"/>
          <w:lang w:val="zh-CN"/>
        </w:rPr>
        <w:t>一、收支总表</w:t>
      </w:r>
    </w:p>
    <w:p>
      <w:pPr>
        <w:autoSpaceDE w:val="0"/>
        <w:autoSpaceDN w:val="0"/>
        <w:adjustRightInd w:val="0"/>
        <w:spacing w:line="560" w:lineRule="exact"/>
        <w:jc w:val="left"/>
        <w:rPr>
          <w:rFonts w:hint="eastAsia" w:ascii="仿宋_GB2312" w:hAnsi="仿宋_GB2312" w:eastAsia="仿宋_GB2312" w:cs="仿宋_GB2312"/>
          <w:color w:val="000000"/>
          <w:kern w:val="0"/>
          <w:sz w:val="32"/>
          <w:szCs w:val="32"/>
          <w:highlight w:val="none"/>
          <w:lang w:val="zh-CN"/>
        </w:rPr>
      </w:pPr>
      <w:r>
        <w:rPr>
          <w:rFonts w:hint="eastAsia" w:ascii="仿宋_GB2312" w:hAnsi="仿宋_GB2312" w:eastAsia="仿宋_GB2312" w:cs="仿宋_GB2312"/>
          <w:color w:val="000000"/>
          <w:kern w:val="0"/>
          <w:sz w:val="32"/>
          <w:szCs w:val="32"/>
          <w:highlight w:val="none"/>
          <w:lang w:val="zh-CN"/>
        </w:rPr>
        <w:t xml:space="preserve">    二、收入总表    </w:t>
      </w:r>
    </w:p>
    <w:p>
      <w:pPr>
        <w:autoSpaceDE w:val="0"/>
        <w:autoSpaceDN w:val="0"/>
        <w:adjustRightInd w:val="0"/>
        <w:spacing w:line="560" w:lineRule="exact"/>
        <w:ind w:firstLine="640"/>
        <w:jc w:val="left"/>
        <w:rPr>
          <w:rFonts w:hint="eastAsia" w:ascii="仿宋_GB2312" w:hAnsi="仿宋_GB2312" w:eastAsia="仿宋_GB2312" w:cs="仿宋_GB2312"/>
          <w:color w:val="000000"/>
          <w:kern w:val="0"/>
          <w:sz w:val="32"/>
          <w:szCs w:val="32"/>
          <w:highlight w:val="none"/>
          <w:lang w:val="zh-CN"/>
        </w:rPr>
      </w:pPr>
      <w:r>
        <w:rPr>
          <w:rFonts w:hint="eastAsia" w:ascii="仿宋_GB2312" w:hAnsi="仿宋_GB2312" w:eastAsia="仿宋_GB2312" w:cs="仿宋_GB2312"/>
          <w:color w:val="000000"/>
          <w:kern w:val="0"/>
          <w:sz w:val="32"/>
          <w:szCs w:val="32"/>
          <w:highlight w:val="none"/>
          <w:lang w:val="zh-CN"/>
        </w:rPr>
        <w:t>三、支出总表</w:t>
      </w:r>
    </w:p>
    <w:p>
      <w:pPr>
        <w:autoSpaceDE w:val="0"/>
        <w:autoSpaceDN w:val="0"/>
        <w:adjustRightInd w:val="0"/>
        <w:spacing w:line="560" w:lineRule="exact"/>
        <w:ind w:firstLine="640"/>
        <w:jc w:val="left"/>
        <w:rPr>
          <w:rFonts w:hint="eastAsia" w:ascii="仿宋_GB2312" w:hAnsi="仿宋_GB2312" w:eastAsia="仿宋_GB2312" w:cs="仿宋_GB2312"/>
          <w:color w:val="000000"/>
          <w:kern w:val="0"/>
          <w:sz w:val="32"/>
          <w:szCs w:val="32"/>
          <w:highlight w:val="none"/>
          <w:lang w:val="zh-CN"/>
        </w:rPr>
      </w:pPr>
      <w:r>
        <w:rPr>
          <w:rFonts w:hint="eastAsia" w:ascii="仿宋_GB2312" w:hAnsi="仿宋_GB2312" w:eastAsia="仿宋_GB2312" w:cs="仿宋_GB2312"/>
          <w:color w:val="000000"/>
          <w:kern w:val="0"/>
          <w:sz w:val="32"/>
          <w:szCs w:val="32"/>
          <w:highlight w:val="none"/>
          <w:lang w:val="zh-CN"/>
        </w:rPr>
        <w:t>四、项目支出表</w:t>
      </w:r>
    </w:p>
    <w:p>
      <w:pPr>
        <w:autoSpaceDE w:val="0"/>
        <w:autoSpaceDN w:val="0"/>
        <w:adjustRightInd w:val="0"/>
        <w:spacing w:line="560" w:lineRule="exact"/>
        <w:ind w:firstLine="640"/>
        <w:jc w:val="left"/>
        <w:rPr>
          <w:rFonts w:hint="eastAsia" w:ascii="仿宋_GB2312" w:hAnsi="仿宋_GB2312" w:eastAsia="仿宋_GB2312" w:cs="仿宋_GB2312"/>
          <w:color w:val="000000"/>
          <w:kern w:val="0"/>
          <w:sz w:val="32"/>
          <w:szCs w:val="32"/>
          <w:highlight w:val="none"/>
          <w:lang w:val="zh-CN"/>
        </w:rPr>
      </w:pPr>
      <w:r>
        <w:rPr>
          <w:rFonts w:hint="eastAsia" w:ascii="仿宋_GB2312" w:hAnsi="仿宋_GB2312" w:eastAsia="仿宋_GB2312" w:cs="仿宋_GB2312"/>
          <w:color w:val="000000"/>
          <w:kern w:val="0"/>
          <w:sz w:val="32"/>
          <w:szCs w:val="32"/>
          <w:highlight w:val="none"/>
          <w:lang w:val="zh-CN"/>
        </w:rPr>
        <w:t>五、政府采购预算明细表</w:t>
      </w:r>
    </w:p>
    <w:p>
      <w:pPr>
        <w:autoSpaceDE w:val="0"/>
        <w:autoSpaceDN w:val="0"/>
        <w:adjustRightInd w:val="0"/>
        <w:spacing w:line="560" w:lineRule="exact"/>
        <w:ind w:firstLine="640" w:firstLineChars="200"/>
        <w:jc w:val="left"/>
        <w:rPr>
          <w:rFonts w:hint="eastAsia" w:ascii="仿宋_GB2312" w:hAnsi="仿宋_GB2312" w:eastAsia="仿宋_GB2312" w:cs="仿宋_GB2312"/>
          <w:color w:val="000000"/>
          <w:kern w:val="0"/>
          <w:sz w:val="32"/>
          <w:szCs w:val="32"/>
          <w:highlight w:val="none"/>
          <w:lang w:val="zh-CN"/>
        </w:rPr>
      </w:pPr>
      <w:r>
        <w:rPr>
          <w:rFonts w:hint="eastAsia" w:ascii="仿宋_GB2312" w:hAnsi="仿宋_GB2312" w:eastAsia="仿宋_GB2312" w:cs="仿宋_GB2312"/>
          <w:color w:val="000000"/>
          <w:kern w:val="0"/>
          <w:sz w:val="32"/>
          <w:szCs w:val="32"/>
          <w:highlight w:val="none"/>
          <w:lang w:val="zh-CN"/>
        </w:rPr>
        <w:t>六、财政拨款收支总表</w:t>
      </w:r>
    </w:p>
    <w:p>
      <w:pPr>
        <w:autoSpaceDE w:val="0"/>
        <w:autoSpaceDN w:val="0"/>
        <w:adjustRightInd w:val="0"/>
        <w:spacing w:line="560" w:lineRule="exact"/>
        <w:jc w:val="left"/>
        <w:rPr>
          <w:rFonts w:hint="eastAsia" w:ascii="仿宋_GB2312" w:hAnsi="仿宋_GB2312" w:eastAsia="仿宋_GB2312" w:cs="仿宋_GB2312"/>
          <w:color w:val="000000"/>
          <w:kern w:val="0"/>
          <w:sz w:val="32"/>
          <w:szCs w:val="32"/>
          <w:highlight w:val="none"/>
          <w:lang w:val="zh-CN"/>
        </w:rPr>
      </w:pPr>
      <w:r>
        <w:rPr>
          <w:rFonts w:hint="eastAsia" w:ascii="仿宋_GB2312" w:hAnsi="仿宋_GB2312" w:eastAsia="仿宋_GB2312" w:cs="仿宋_GB2312"/>
          <w:color w:val="000000"/>
          <w:kern w:val="0"/>
          <w:sz w:val="32"/>
          <w:szCs w:val="32"/>
          <w:highlight w:val="none"/>
          <w:lang w:val="zh-CN"/>
        </w:rPr>
        <w:t xml:space="preserve">    七、一般公共预算财政拨款支出表</w:t>
      </w:r>
    </w:p>
    <w:p>
      <w:pPr>
        <w:autoSpaceDE w:val="0"/>
        <w:autoSpaceDN w:val="0"/>
        <w:adjustRightInd w:val="0"/>
        <w:spacing w:line="560" w:lineRule="exact"/>
        <w:jc w:val="left"/>
        <w:rPr>
          <w:rFonts w:hint="eastAsia" w:ascii="仿宋_GB2312" w:hAnsi="仿宋_GB2312" w:eastAsia="仿宋_GB2312" w:cs="仿宋_GB2312"/>
          <w:color w:val="000000"/>
          <w:spacing w:val="-16"/>
          <w:kern w:val="0"/>
          <w:sz w:val="32"/>
          <w:szCs w:val="32"/>
          <w:highlight w:val="none"/>
          <w:lang w:val="zh-CN"/>
        </w:rPr>
      </w:pPr>
      <w:r>
        <w:rPr>
          <w:rFonts w:hint="eastAsia" w:ascii="仿宋_GB2312" w:hAnsi="仿宋_GB2312" w:eastAsia="仿宋_GB2312" w:cs="仿宋_GB2312"/>
          <w:color w:val="000000"/>
          <w:kern w:val="0"/>
          <w:sz w:val="32"/>
          <w:szCs w:val="32"/>
          <w:highlight w:val="none"/>
          <w:lang w:val="zh-CN"/>
        </w:rPr>
        <w:t xml:space="preserve">    </w:t>
      </w:r>
      <w:r>
        <w:rPr>
          <w:rFonts w:hint="eastAsia" w:ascii="仿宋_GB2312" w:hAnsi="仿宋_GB2312" w:eastAsia="仿宋_GB2312" w:cs="仿宋_GB2312"/>
          <w:color w:val="000000"/>
          <w:spacing w:val="-16"/>
          <w:kern w:val="0"/>
          <w:sz w:val="32"/>
          <w:szCs w:val="32"/>
          <w:highlight w:val="none"/>
          <w:lang w:val="zh-CN"/>
        </w:rPr>
        <w:t>八、一般公共预算财政拨款基本支出表</w:t>
      </w:r>
    </w:p>
    <w:p>
      <w:pPr>
        <w:autoSpaceDE w:val="0"/>
        <w:autoSpaceDN w:val="0"/>
        <w:adjustRightInd w:val="0"/>
        <w:spacing w:line="560" w:lineRule="exact"/>
        <w:ind w:firstLine="640" w:firstLineChars="200"/>
        <w:jc w:val="left"/>
        <w:rPr>
          <w:rFonts w:hint="eastAsia" w:ascii="仿宋_GB2312" w:hAnsi="仿宋_GB2312" w:eastAsia="仿宋_GB2312" w:cs="仿宋_GB2312"/>
          <w:color w:val="000000"/>
          <w:kern w:val="0"/>
          <w:sz w:val="32"/>
          <w:szCs w:val="32"/>
          <w:highlight w:val="none"/>
          <w:lang w:val="zh-CN"/>
        </w:rPr>
      </w:pPr>
      <w:r>
        <w:rPr>
          <w:rFonts w:hint="eastAsia" w:ascii="仿宋_GB2312" w:hAnsi="仿宋_GB2312" w:eastAsia="仿宋_GB2312" w:cs="仿宋_GB2312"/>
          <w:color w:val="000000"/>
          <w:kern w:val="0"/>
          <w:sz w:val="32"/>
          <w:szCs w:val="32"/>
          <w:highlight w:val="none"/>
          <w:lang w:val="zh-CN"/>
        </w:rPr>
        <w:t>九、政府性基金预算财政拨款支出表</w:t>
      </w:r>
    </w:p>
    <w:p>
      <w:pPr>
        <w:autoSpaceDE w:val="0"/>
        <w:autoSpaceDN w:val="0"/>
        <w:adjustRightInd w:val="0"/>
        <w:spacing w:line="560" w:lineRule="exact"/>
        <w:ind w:firstLine="640" w:firstLineChars="200"/>
        <w:jc w:val="left"/>
        <w:rPr>
          <w:rFonts w:hint="eastAsia" w:ascii="仿宋_GB2312" w:hAnsi="仿宋_GB2312" w:eastAsia="仿宋_GB2312" w:cs="仿宋_GB2312"/>
          <w:color w:val="000000"/>
          <w:spacing w:val="-16"/>
          <w:kern w:val="0"/>
          <w:sz w:val="32"/>
          <w:szCs w:val="32"/>
          <w:highlight w:val="none"/>
          <w:lang w:val="zh-CN"/>
        </w:rPr>
      </w:pPr>
      <w:r>
        <w:rPr>
          <w:rFonts w:hint="eastAsia" w:ascii="仿宋_GB2312" w:hAnsi="仿宋_GB2312" w:eastAsia="仿宋_GB2312" w:cs="仿宋_GB2312"/>
          <w:color w:val="000000"/>
          <w:kern w:val="0"/>
          <w:sz w:val="32"/>
          <w:szCs w:val="32"/>
          <w:highlight w:val="none"/>
          <w:lang w:val="zh-CN"/>
        </w:rPr>
        <w:t>十、国有资本经营预算财政拨款支出表</w:t>
      </w:r>
    </w:p>
    <w:p>
      <w:pPr>
        <w:autoSpaceDE w:val="0"/>
        <w:autoSpaceDN w:val="0"/>
        <w:adjustRightInd w:val="0"/>
        <w:spacing w:line="560" w:lineRule="exact"/>
        <w:ind w:firstLine="576" w:firstLineChars="200"/>
        <w:jc w:val="left"/>
        <w:rPr>
          <w:rFonts w:hint="eastAsia" w:ascii="仿宋_GB2312" w:hAnsi="仿宋_GB2312" w:eastAsia="仿宋_GB2312" w:cs="仿宋_GB2312"/>
          <w:color w:val="000000"/>
          <w:kern w:val="0"/>
          <w:sz w:val="32"/>
          <w:szCs w:val="32"/>
          <w:highlight w:val="none"/>
          <w:lang w:val="zh-CN"/>
        </w:rPr>
      </w:pPr>
      <w:r>
        <w:rPr>
          <w:rFonts w:hint="eastAsia" w:ascii="仿宋_GB2312" w:hAnsi="仿宋_GB2312" w:eastAsia="仿宋_GB2312" w:cs="仿宋_GB2312"/>
          <w:color w:val="000000"/>
          <w:spacing w:val="-16"/>
          <w:kern w:val="0"/>
          <w:sz w:val="32"/>
          <w:szCs w:val="32"/>
          <w:highlight w:val="none"/>
          <w:lang w:val="zh-CN"/>
        </w:rPr>
        <w:t>十一、财政拨款</w:t>
      </w:r>
      <w:r>
        <w:rPr>
          <w:rFonts w:hint="eastAsia" w:ascii="仿宋_GB2312" w:hAnsi="仿宋_GB2312" w:eastAsia="仿宋_GB2312" w:cs="仿宋_GB2312"/>
          <w:color w:val="000000"/>
          <w:kern w:val="0"/>
          <w:sz w:val="32"/>
          <w:szCs w:val="32"/>
          <w:highlight w:val="none"/>
          <w:lang w:val="zh-CN"/>
        </w:rPr>
        <w:t>“三公”经费支出表</w:t>
      </w:r>
    </w:p>
    <w:p>
      <w:pPr>
        <w:autoSpaceDE w:val="0"/>
        <w:autoSpaceDN w:val="0"/>
        <w:adjustRightInd w:val="0"/>
        <w:spacing w:line="560" w:lineRule="exact"/>
        <w:ind w:firstLine="568" w:firstLineChars="200"/>
        <w:jc w:val="left"/>
        <w:rPr>
          <w:rFonts w:hint="eastAsia" w:ascii="仿宋_GB2312" w:hAnsi="仿宋_GB2312" w:eastAsia="仿宋_GB2312" w:cs="仿宋_GB2312"/>
          <w:color w:val="000000"/>
          <w:kern w:val="0"/>
          <w:sz w:val="32"/>
          <w:szCs w:val="32"/>
          <w:highlight w:val="none"/>
          <w:lang w:val="zh-CN"/>
        </w:rPr>
      </w:pPr>
      <w:r>
        <w:rPr>
          <w:rFonts w:hint="eastAsia" w:ascii="仿宋_GB2312" w:hAnsi="仿宋_GB2312" w:eastAsia="仿宋_GB2312" w:cs="仿宋_GB2312"/>
          <w:color w:val="000000"/>
          <w:spacing w:val="-18"/>
          <w:kern w:val="0"/>
          <w:sz w:val="32"/>
          <w:szCs w:val="32"/>
          <w:highlight w:val="none"/>
          <w:lang w:val="zh-CN"/>
        </w:rPr>
        <w:t>十</w:t>
      </w:r>
      <w:r>
        <w:rPr>
          <w:rFonts w:hint="eastAsia" w:ascii="仿宋_GB2312" w:hAnsi="仿宋_GB2312" w:eastAsia="仿宋_GB2312" w:cs="仿宋_GB2312"/>
          <w:color w:val="000000"/>
          <w:kern w:val="0"/>
          <w:sz w:val="32"/>
          <w:szCs w:val="32"/>
          <w:highlight w:val="none"/>
          <w:lang w:val="zh-CN"/>
        </w:rPr>
        <w:t>二、政府购买服务预算财政拨款明细表</w:t>
      </w:r>
    </w:p>
    <w:p>
      <w:pPr>
        <w:autoSpaceDE w:val="0"/>
        <w:autoSpaceDN w:val="0"/>
        <w:adjustRightInd w:val="0"/>
        <w:spacing w:line="560" w:lineRule="exact"/>
        <w:ind w:firstLine="640" w:firstLineChars="200"/>
        <w:jc w:val="left"/>
        <w:rPr>
          <w:rFonts w:hint="eastAsia" w:ascii="仿宋_GB2312" w:hAnsi="仿宋_GB2312" w:eastAsia="仿宋_GB2312" w:cs="仿宋_GB2312"/>
          <w:color w:val="000000"/>
          <w:kern w:val="0"/>
          <w:sz w:val="32"/>
          <w:szCs w:val="32"/>
          <w:highlight w:val="none"/>
          <w:lang w:val="zh-CN"/>
        </w:rPr>
      </w:pPr>
      <w:r>
        <w:rPr>
          <w:rFonts w:hint="eastAsia" w:ascii="仿宋_GB2312" w:hAnsi="仿宋_GB2312" w:eastAsia="仿宋_GB2312" w:cs="仿宋_GB2312"/>
          <w:color w:val="000000"/>
          <w:kern w:val="0"/>
          <w:sz w:val="32"/>
          <w:szCs w:val="32"/>
          <w:highlight w:val="none"/>
          <w:lang w:val="zh-CN"/>
        </w:rPr>
        <w:t>十三、项目支出绩效目标表</w:t>
      </w:r>
    </w:p>
    <w:p>
      <w:pPr>
        <w:spacing w:line="560" w:lineRule="exact"/>
        <w:jc w:val="center"/>
        <w:rPr>
          <w:rFonts w:hint="eastAsia" w:ascii="仿宋_GB2312" w:hAnsi="仿宋_GB2312" w:eastAsia="仿宋_GB2312" w:cs="仿宋_GB2312"/>
          <w:color w:val="000000"/>
          <w:sz w:val="36"/>
          <w:szCs w:val="36"/>
          <w:highlight w:val="none"/>
        </w:rPr>
      </w:pPr>
    </w:p>
    <w:p>
      <w:pPr>
        <w:spacing w:line="560" w:lineRule="exact"/>
        <w:jc w:val="center"/>
        <w:rPr>
          <w:rFonts w:hint="eastAsia" w:ascii="仿宋_GB2312" w:hAnsi="仿宋_GB2312" w:eastAsia="仿宋_GB2312" w:cs="仿宋_GB2312"/>
          <w:color w:val="000000"/>
          <w:sz w:val="36"/>
          <w:szCs w:val="36"/>
          <w:highlight w:val="none"/>
        </w:rPr>
      </w:pPr>
    </w:p>
    <w:p>
      <w:pPr>
        <w:spacing w:line="560" w:lineRule="exact"/>
        <w:jc w:val="center"/>
        <w:rPr>
          <w:rFonts w:hint="eastAsia" w:ascii="仿宋_GB2312" w:hAnsi="仿宋_GB2312" w:eastAsia="仿宋_GB2312" w:cs="仿宋_GB2312"/>
          <w:color w:val="000000"/>
          <w:sz w:val="36"/>
          <w:szCs w:val="36"/>
          <w:highlight w:val="none"/>
        </w:rPr>
      </w:pPr>
    </w:p>
    <w:p>
      <w:pPr>
        <w:spacing w:line="560" w:lineRule="exact"/>
        <w:jc w:val="center"/>
        <w:rPr>
          <w:rFonts w:hint="eastAsia" w:ascii="仿宋_GB2312" w:hAnsi="仿宋_GB2312" w:eastAsia="仿宋_GB2312" w:cs="仿宋_GB2312"/>
          <w:color w:val="000000"/>
          <w:sz w:val="36"/>
          <w:szCs w:val="36"/>
          <w:highlight w:val="none"/>
        </w:rPr>
      </w:pPr>
    </w:p>
    <w:p>
      <w:pPr>
        <w:spacing w:line="560" w:lineRule="exact"/>
        <w:jc w:val="center"/>
        <w:rPr>
          <w:rFonts w:hint="eastAsia" w:ascii="仿宋_GB2312" w:hAnsi="仿宋_GB2312" w:eastAsia="仿宋_GB2312" w:cs="仿宋_GB2312"/>
          <w:color w:val="000000"/>
          <w:sz w:val="36"/>
          <w:szCs w:val="36"/>
          <w:highlight w:val="none"/>
        </w:rPr>
      </w:pPr>
    </w:p>
    <w:p>
      <w:pPr>
        <w:spacing w:line="560" w:lineRule="exact"/>
        <w:jc w:val="center"/>
        <w:rPr>
          <w:rFonts w:hint="eastAsia" w:ascii="仿宋_GB2312" w:hAnsi="仿宋_GB2312" w:eastAsia="仿宋_GB2312" w:cs="仿宋_GB2312"/>
          <w:color w:val="000000"/>
          <w:sz w:val="36"/>
          <w:szCs w:val="36"/>
          <w:highlight w:val="none"/>
        </w:rPr>
      </w:pPr>
    </w:p>
    <w:p>
      <w:pPr>
        <w:spacing w:line="560" w:lineRule="exact"/>
        <w:jc w:val="center"/>
        <w:rPr>
          <w:rFonts w:hint="eastAsia" w:ascii="仿宋_GB2312" w:hAnsi="仿宋_GB2312" w:eastAsia="仿宋_GB2312" w:cs="仿宋_GB2312"/>
          <w:color w:val="000000"/>
          <w:sz w:val="36"/>
          <w:szCs w:val="36"/>
          <w:highlight w:val="none"/>
        </w:rPr>
      </w:pPr>
    </w:p>
    <w:p>
      <w:pPr>
        <w:spacing w:line="560" w:lineRule="exact"/>
        <w:jc w:val="center"/>
        <w:rPr>
          <w:rFonts w:hint="eastAsia" w:ascii="方正小标宋简体" w:eastAsia="方正小标宋简体"/>
          <w:color w:val="000000"/>
          <w:sz w:val="36"/>
          <w:szCs w:val="36"/>
          <w:highlight w:val="none"/>
        </w:rPr>
      </w:pPr>
    </w:p>
    <w:p>
      <w:pPr>
        <w:spacing w:line="560" w:lineRule="exact"/>
        <w:jc w:val="center"/>
        <w:rPr>
          <w:rFonts w:hint="eastAsia" w:ascii="方正小标宋简体" w:eastAsia="方正小标宋简体"/>
          <w:color w:val="000000"/>
          <w:sz w:val="36"/>
          <w:szCs w:val="36"/>
          <w:highlight w:val="none"/>
        </w:rPr>
      </w:pPr>
    </w:p>
    <w:p>
      <w:pPr>
        <w:spacing w:line="560" w:lineRule="exact"/>
        <w:jc w:val="center"/>
        <w:rPr>
          <w:rFonts w:hint="eastAsia" w:ascii="方正小标宋简体" w:eastAsia="方正小标宋简体"/>
          <w:color w:val="000000"/>
          <w:sz w:val="36"/>
          <w:szCs w:val="36"/>
          <w:highlight w:val="none"/>
        </w:rPr>
      </w:pPr>
    </w:p>
    <w:p>
      <w:pPr>
        <w:spacing w:line="560" w:lineRule="exact"/>
        <w:jc w:val="center"/>
        <w:rPr>
          <w:rFonts w:hint="eastAsia" w:ascii="方正小标宋简体" w:eastAsia="方正小标宋简体"/>
          <w:color w:val="000000"/>
          <w:sz w:val="36"/>
          <w:szCs w:val="36"/>
          <w:highlight w:val="none"/>
        </w:rPr>
      </w:pPr>
    </w:p>
    <w:p>
      <w:pPr>
        <w:spacing w:line="560" w:lineRule="exact"/>
        <w:jc w:val="center"/>
        <w:rPr>
          <w:rFonts w:hint="eastAsia" w:ascii="方正小标宋简体" w:eastAsia="方正小标宋简体"/>
          <w:color w:val="000000"/>
          <w:sz w:val="36"/>
          <w:szCs w:val="36"/>
          <w:highlight w:val="none"/>
        </w:rPr>
      </w:pPr>
    </w:p>
    <w:p>
      <w:pPr>
        <w:spacing w:line="560" w:lineRule="exact"/>
        <w:jc w:val="center"/>
        <w:rPr>
          <w:rFonts w:hint="eastAsia" w:ascii="方正小标宋简体" w:eastAsia="方正小标宋简体"/>
          <w:color w:val="000000"/>
          <w:sz w:val="36"/>
          <w:szCs w:val="36"/>
          <w:highlight w:val="none"/>
        </w:rPr>
      </w:pPr>
    </w:p>
    <w:p>
      <w:pPr>
        <w:spacing w:line="560" w:lineRule="exact"/>
        <w:jc w:val="center"/>
        <w:rPr>
          <w:rFonts w:hint="eastAsia" w:ascii="方正小标宋简体" w:eastAsia="方正小标宋简体"/>
          <w:color w:val="000000"/>
          <w:sz w:val="36"/>
          <w:szCs w:val="36"/>
          <w:highlight w:val="none"/>
        </w:rPr>
      </w:pPr>
    </w:p>
    <w:p>
      <w:pPr>
        <w:spacing w:line="560" w:lineRule="exact"/>
        <w:jc w:val="center"/>
        <w:rPr>
          <w:rFonts w:hint="eastAsia" w:ascii="方正小标宋简体" w:eastAsia="方正小标宋简体"/>
          <w:color w:val="000000"/>
          <w:sz w:val="36"/>
          <w:szCs w:val="36"/>
          <w:highlight w:val="none"/>
        </w:rPr>
      </w:pPr>
    </w:p>
    <w:p>
      <w:pPr>
        <w:spacing w:line="560" w:lineRule="exact"/>
        <w:jc w:val="center"/>
        <w:rPr>
          <w:rFonts w:hint="eastAsia" w:ascii="方正小标宋简体" w:eastAsia="方正小标宋简体"/>
          <w:color w:val="000000"/>
          <w:sz w:val="36"/>
          <w:szCs w:val="36"/>
          <w:highlight w:val="none"/>
        </w:rPr>
      </w:pPr>
    </w:p>
    <w:p>
      <w:pPr>
        <w:spacing w:line="560" w:lineRule="exact"/>
        <w:jc w:val="center"/>
        <w:rPr>
          <w:rFonts w:hint="eastAsia" w:ascii="方正小标宋简体" w:eastAsia="方正小标宋简体"/>
          <w:color w:val="000000"/>
          <w:sz w:val="36"/>
          <w:szCs w:val="36"/>
          <w:highlight w:val="none"/>
        </w:rPr>
      </w:pPr>
    </w:p>
    <w:p>
      <w:pPr>
        <w:spacing w:line="560" w:lineRule="exact"/>
        <w:jc w:val="center"/>
        <w:rPr>
          <w:rFonts w:hint="eastAsia" w:ascii="方正小标宋简体" w:eastAsia="方正小标宋简体"/>
          <w:color w:val="000000"/>
          <w:sz w:val="36"/>
          <w:szCs w:val="36"/>
          <w:highlight w:val="none"/>
        </w:rPr>
      </w:pPr>
    </w:p>
    <w:p>
      <w:pPr>
        <w:pStyle w:val="2"/>
        <w:rPr>
          <w:rFonts w:hint="eastAsia"/>
          <w:highlight w:val="none"/>
        </w:rPr>
      </w:pPr>
    </w:p>
    <w:p>
      <w:pPr>
        <w:rPr>
          <w:rFonts w:hint="eastAsia"/>
          <w:highlight w:val="none"/>
        </w:rPr>
      </w:pPr>
    </w:p>
    <w:p>
      <w:pPr>
        <w:spacing w:line="560" w:lineRule="exact"/>
        <w:jc w:val="center"/>
        <w:rPr>
          <w:rFonts w:hint="eastAsia" w:ascii="Cambria" w:hAnsi="Cambria" w:eastAsia="黑体" w:cs="Times New Roman"/>
          <w:b/>
          <w:bCs/>
          <w:kern w:val="0"/>
          <w:sz w:val="36"/>
          <w:szCs w:val="32"/>
          <w:highlight w:val="none"/>
        </w:rPr>
      </w:pPr>
    </w:p>
    <w:p>
      <w:pPr>
        <w:pStyle w:val="2"/>
        <w:rPr>
          <w:rFonts w:hint="eastAsia"/>
          <w:highlight w:val="none"/>
        </w:rPr>
      </w:pPr>
    </w:p>
    <w:p>
      <w:pPr>
        <w:spacing w:line="560" w:lineRule="exact"/>
        <w:jc w:val="center"/>
        <w:rPr>
          <w:rFonts w:hint="eastAsia" w:ascii="仿宋_GB2312" w:eastAsia="仿宋_GB2312"/>
          <w:color w:val="000000"/>
          <w:sz w:val="32"/>
          <w:szCs w:val="32"/>
          <w:highlight w:val="none"/>
        </w:rPr>
      </w:pPr>
      <w:r>
        <w:rPr>
          <w:rFonts w:hint="eastAsia" w:ascii="方正小标宋简体" w:eastAsia="方正小标宋简体"/>
          <w:color w:val="000000"/>
          <w:sz w:val="36"/>
          <w:szCs w:val="36"/>
          <w:highlight w:val="none"/>
        </w:rPr>
        <w:t>第一部分  2025年度单位预算情况说明</w:t>
      </w:r>
    </w:p>
    <w:p>
      <w:pPr>
        <w:spacing w:line="560" w:lineRule="exact"/>
        <w:ind w:firstLine="640" w:firstLineChars="200"/>
        <w:rPr>
          <w:rFonts w:hint="eastAsia" w:ascii="黑体" w:eastAsia="黑体"/>
          <w:color w:val="000000"/>
          <w:sz w:val="32"/>
          <w:szCs w:val="32"/>
          <w:highlight w:val="none"/>
        </w:rPr>
      </w:pPr>
      <w:r>
        <w:rPr>
          <w:rFonts w:hint="eastAsia" w:ascii="黑体" w:eastAsia="黑体"/>
          <w:color w:val="000000"/>
          <w:sz w:val="32"/>
          <w:szCs w:val="32"/>
          <w:highlight w:val="none"/>
        </w:rPr>
        <w:t>一、单位情况说明</w:t>
      </w:r>
    </w:p>
    <w:p>
      <w:pPr>
        <w:spacing w:line="560" w:lineRule="exact"/>
        <w:ind w:firstLine="640" w:firstLineChars="200"/>
        <w:rPr>
          <w:rFonts w:hint="eastAsia" w:ascii="楷体_GB2312" w:eastAsia="楷体_GB2312"/>
          <w:color w:val="000000"/>
          <w:sz w:val="32"/>
          <w:szCs w:val="32"/>
          <w:highlight w:val="none"/>
        </w:rPr>
      </w:pPr>
      <w:r>
        <w:rPr>
          <w:rFonts w:hint="eastAsia" w:ascii="楷体_GB2312" w:eastAsia="楷体_GB2312"/>
          <w:color w:val="000000"/>
          <w:sz w:val="32"/>
          <w:szCs w:val="32"/>
          <w:highlight w:val="none"/>
        </w:rPr>
        <w:t>（一）本单位性质、职责等情况</w:t>
      </w:r>
    </w:p>
    <w:p>
      <w:pPr>
        <w:spacing w:line="560" w:lineRule="exact"/>
        <w:ind w:firstLine="640" w:firstLineChars="200"/>
        <w:rPr>
          <w:color w:val="000000"/>
          <w:highlight w:val="none"/>
        </w:rPr>
      </w:pPr>
      <w:r>
        <w:rPr>
          <w:rFonts w:hint="eastAsia" w:ascii="仿宋_GB2312" w:hAnsi="楷体" w:eastAsia="仿宋_GB2312"/>
          <w:b w:val="0"/>
          <w:bCs w:val="0"/>
          <w:kern w:val="2"/>
          <w:sz w:val="32"/>
          <w:highlight w:val="none"/>
          <w:lang w:eastAsia="zh-CN"/>
        </w:rPr>
        <w:t>根据《中共北京市委机构编制委员会关于市委社会工委、市民政局所属事业单位改革有关事项的批复》（京编委</w:t>
      </w:r>
      <w:r>
        <w:rPr>
          <w:rFonts w:hint="eastAsia" w:ascii="仿宋" w:hAnsi="仿宋" w:eastAsia="仿宋" w:cs="仿宋"/>
          <w:b w:val="0"/>
          <w:bCs w:val="0"/>
          <w:kern w:val="2"/>
          <w:sz w:val="32"/>
          <w:highlight w:val="none"/>
          <w:lang w:eastAsia="zh-CN"/>
        </w:rPr>
        <w:t>〔</w:t>
      </w:r>
      <w:r>
        <w:rPr>
          <w:rFonts w:hint="eastAsia" w:ascii="仿宋" w:hAnsi="仿宋" w:eastAsia="仿宋" w:cs="仿宋"/>
          <w:b w:val="0"/>
          <w:bCs w:val="0"/>
          <w:kern w:val="2"/>
          <w:sz w:val="32"/>
          <w:highlight w:val="none"/>
          <w:lang w:val="en-US" w:eastAsia="zh-CN"/>
        </w:rPr>
        <w:t>2021</w:t>
      </w:r>
      <w:r>
        <w:rPr>
          <w:rFonts w:hint="eastAsia" w:ascii="仿宋" w:hAnsi="仿宋" w:eastAsia="仿宋" w:cs="仿宋"/>
          <w:b w:val="0"/>
          <w:bCs w:val="0"/>
          <w:kern w:val="2"/>
          <w:sz w:val="32"/>
          <w:highlight w:val="none"/>
          <w:lang w:eastAsia="zh-CN"/>
        </w:rPr>
        <w:t>〕</w:t>
      </w:r>
      <w:r>
        <w:rPr>
          <w:rFonts w:hint="eastAsia" w:ascii="仿宋" w:hAnsi="仿宋" w:eastAsia="仿宋" w:cs="仿宋"/>
          <w:b w:val="0"/>
          <w:bCs w:val="0"/>
          <w:kern w:val="2"/>
          <w:sz w:val="32"/>
          <w:highlight w:val="none"/>
          <w:lang w:val="en-US" w:eastAsia="zh-CN"/>
        </w:rPr>
        <w:t>108号</w:t>
      </w:r>
      <w:r>
        <w:rPr>
          <w:rFonts w:hint="eastAsia" w:ascii="仿宋" w:hAnsi="仿宋" w:eastAsia="仿宋" w:cs="仿宋"/>
          <w:b w:val="0"/>
          <w:bCs w:val="0"/>
          <w:kern w:val="2"/>
          <w:sz w:val="32"/>
          <w:highlight w:val="none"/>
          <w:lang w:eastAsia="zh-CN"/>
        </w:rPr>
        <w:t>），同意整合北京市儿童福利院、北京市孤残儿童康复示范中心，重新组建北京市儿童福利院，为正处级公益一类事业单位，主要职责是：</w:t>
      </w:r>
      <w:r>
        <w:rPr>
          <w:rFonts w:hint="eastAsia" w:ascii="仿宋_GB2312" w:hAnsi="楷体" w:eastAsia="仿宋_GB2312"/>
          <w:b w:val="0"/>
          <w:bCs w:val="0"/>
          <w:kern w:val="2"/>
          <w:sz w:val="32"/>
          <w:highlight w:val="none"/>
        </w:rPr>
        <w:t>承担本市相关孤残儿童养育照料及康复服务工作。</w:t>
      </w:r>
    </w:p>
    <w:p>
      <w:pPr>
        <w:numPr>
          <w:ilvl w:val="0"/>
          <w:numId w:val="1"/>
        </w:numPr>
        <w:spacing w:line="560" w:lineRule="exact"/>
        <w:ind w:firstLine="640" w:firstLineChars="200"/>
        <w:rPr>
          <w:rFonts w:ascii="仿宋_GB2312" w:hAnsi="楷体" w:eastAsia="仿宋_GB2312"/>
          <w:b w:val="0"/>
          <w:bCs w:val="0"/>
          <w:kern w:val="2"/>
          <w:sz w:val="32"/>
          <w:highlight w:val="none"/>
        </w:rPr>
      </w:pPr>
      <w:r>
        <w:rPr>
          <w:rFonts w:hint="eastAsia" w:ascii="楷体_GB2312" w:eastAsia="楷体_GB2312"/>
          <w:color w:val="000000"/>
          <w:sz w:val="32"/>
          <w:szCs w:val="32"/>
          <w:highlight w:val="none"/>
        </w:rPr>
        <w:t>机构设置情况</w:t>
      </w:r>
    </w:p>
    <w:p>
      <w:pPr>
        <w:numPr>
          <w:numId w:val="0"/>
        </w:numPr>
        <w:spacing w:line="560" w:lineRule="exact"/>
        <w:ind w:firstLine="640" w:firstLineChars="200"/>
        <w:rPr>
          <w:rFonts w:ascii="仿宋_GB2312" w:hAnsi="楷体" w:eastAsia="仿宋_GB2312"/>
          <w:b w:val="0"/>
          <w:bCs w:val="0"/>
          <w:kern w:val="2"/>
          <w:sz w:val="32"/>
          <w:highlight w:val="none"/>
        </w:rPr>
      </w:pPr>
      <w:r>
        <w:rPr>
          <w:rFonts w:hint="eastAsia" w:ascii="仿宋_GB2312" w:hAnsi="楷体" w:eastAsia="仿宋_GB2312"/>
          <w:b w:val="0"/>
          <w:bCs w:val="0"/>
          <w:kern w:val="2"/>
          <w:sz w:val="32"/>
          <w:highlight w:val="none"/>
        </w:rPr>
        <w:t>内设机构13个，分别为：办公室、标准与信息化科、医务科、康复教育科、养育一科、养育二科、社会工作科、膳食科、行政管理科、保卫科、计划财务科、组织人事科、工会。</w:t>
      </w:r>
    </w:p>
    <w:p>
      <w:pPr>
        <w:spacing w:line="560" w:lineRule="exact"/>
        <w:ind w:firstLine="640" w:firstLineChars="200"/>
        <w:rPr>
          <w:rFonts w:hint="eastAsia" w:ascii="楷体_GB2312" w:eastAsia="楷体_GB2312"/>
          <w:color w:val="000000"/>
          <w:sz w:val="32"/>
          <w:szCs w:val="32"/>
          <w:highlight w:val="none"/>
        </w:rPr>
      </w:pPr>
      <w:r>
        <w:rPr>
          <w:rFonts w:hint="eastAsia" w:ascii="仿宋_GB2312" w:hAnsi="Calibri" w:eastAsia="仿宋_GB2312" w:cs="仿宋_GB2312"/>
          <w:color w:val="000000"/>
          <w:sz w:val="32"/>
          <w:szCs w:val="32"/>
          <w:highlight w:val="none"/>
        </w:rPr>
        <w:t>（三）人员</w:t>
      </w:r>
      <w:r>
        <w:rPr>
          <w:rFonts w:hint="eastAsia" w:ascii="楷体_GB2312" w:eastAsia="楷体_GB2312"/>
          <w:color w:val="000000"/>
          <w:sz w:val="32"/>
          <w:szCs w:val="32"/>
          <w:highlight w:val="none"/>
        </w:rPr>
        <w:t>编制及实有情况</w:t>
      </w:r>
    </w:p>
    <w:p>
      <w:pPr>
        <w:suppressAutoHyphens/>
        <w:ind w:firstLine="640" w:firstLineChars="200"/>
        <w:rPr>
          <w:rFonts w:hint="eastAsia" w:ascii="仿宋_GB2312" w:hAnsi="Calibri" w:eastAsia="仿宋_GB2312" w:cs="仿宋_GB2312"/>
          <w:sz w:val="32"/>
          <w:szCs w:val="32"/>
          <w:highlight w:val="none"/>
        </w:rPr>
      </w:pPr>
      <w:r>
        <w:rPr>
          <w:rFonts w:hint="eastAsia" w:ascii="仿宋_GB2312" w:hAnsi="Calibri" w:eastAsia="仿宋_GB2312" w:cs="仿宋_GB2312"/>
          <w:sz w:val="32"/>
          <w:szCs w:val="32"/>
          <w:highlight w:val="none"/>
        </w:rPr>
        <w:t>北京市儿童福利院行政编制0人，实际0人；事业编制286人，实际223人；聘用人员（其他聘用人员--临时工）0人。</w:t>
      </w:r>
    </w:p>
    <w:p>
      <w:pPr>
        <w:suppressAutoHyphens/>
        <w:ind w:firstLine="640" w:firstLineChars="200"/>
        <w:rPr>
          <w:rFonts w:hint="eastAsia" w:ascii="仿宋_GB2312" w:eastAsia="仿宋_GB2312" w:cs="仿宋_GB2312"/>
          <w:sz w:val="32"/>
          <w:szCs w:val="32"/>
          <w:highlight w:val="none"/>
        </w:rPr>
      </w:pPr>
      <w:r>
        <w:rPr>
          <w:rFonts w:hint="eastAsia" w:ascii="仿宋_GB2312" w:hAnsi="Calibri" w:eastAsia="仿宋_GB2312" w:cs="仿宋_GB2312"/>
          <w:sz w:val="32"/>
          <w:szCs w:val="32"/>
          <w:highlight w:val="none"/>
        </w:rPr>
        <w:t>离退休人员252人，其中：离休0人，退休252人。</w:t>
      </w:r>
    </w:p>
    <w:p>
      <w:pPr>
        <w:spacing w:line="560" w:lineRule="exact"/>
        <w:ind w:firstLine="640" w:firstLineChars="200"/>
        <w:rPr>
          <w:rFonts w:hint="eastAsia" w:ascii="黑体" w:eastAsia="黑体"/>
          <w:color w:val="000000"/>
          <w:sz w:val="32"/>
          <w:szCs w:val="32"/>
          <w:highlight w:val="none"/>
        </w:rPr>
      </w:pPr>
      <w:r>
        <w:rPr>
          <w:rFonts w:hint="eastAsia" w:ascii="黑体" w:eastAsia="黑体"/>
          <w:color w:val="000000"/>
          <w:sz w:val="32"/>
          <w:szCs w:val="32"/>
          <w:highlight w:val="none"/>
        </w:rPr>
        <w:t>二、收入预算情况说明</w:t>
      </w:r>
    </w:p>
    <w:p>
      <w:pPr>
        <w:suppressAutoHyphens/>
        <w:ind w:firstLine="640" w:firstLineChars="200"/>
        <w:rPr>
          <w:rFonts w:hint="eastAsia" w:ascii="仿宋_GB2312" w:eastAsia="仿宋_GB2312" w:cs="仿宋_GB2312"/>
          <w:sz w:val="32"/>
          <w:szCs w:val="32"/>
          <w:highlight w:val="none"/>
          <w:lang w:val="en-US"/>
        </w:rPr>
      </w:pPr>
      <w:r>
        <w:rPr>
          <w:rFonts w:hint="eastAsia" w:ascii="仿宋_GB2312" w:hAnsi="Calibri" w:eastAsia="仿宋_GB2312" w:cs="仿宋_GB2312"/>
          <w:sz w:val="32"/>
          <w:szCs w:val="32"/>
          <w:highlight w:val="none"/>
        </w:rPr>
        <w:t>2025年收入预算13556.74万元，比2024年13321.91万元增加234.83万元，增长1.76%。主要原因是</w:t>
      </w:r>
      <w:r>
        <w:rPr>
          <w:rFonts w:hint="eastAsia" w:ascii="仿宋_GB2312" w:hAnsi="Calibri" w:eastAsia="仿宋_GB2312" w:cs="仿宋_GB2312"/>
          <w:sz w:val="32"/>
          <w:szCs w:val="32"/>
          <w:highlight w:val="none"/>
          <w:lang w:val="en-US" w:eastAsia="zh-CN"/>
        </w:rPr>
        <w:t>增加机构发展类经费项目。</w:t>
      </w:r>
    </w:p>
    <w:p>
      <w:pPr>
        <w:spacing w:line="560" w:lineRule="exact"/>
        <w:ind w:firstLine="640" w:firstLineChars="200"/>
        <w:rPr>
          <w:rFonts w:hint="eastAsia" w:ascii="楷体_GB2312" w:eastAsia="楷体_GB2312"/>
          <w:sz w:val="32"/>
          <w:szCs w:val="32"/>
          <w:highlight w:val="none"/>
        </w:rPr>
      </w:pPr>
      <w:r>
        <w:rPr>
          <w:rFonts w:hint="eastAsia" w:ascii="楷体_GB2312" w:eastAsia="楷体_GB2312"/>
          <w:sz w:val="32"/>
          <w:szCs w:val="32"/>
          <w:highlight w:val="none"/>
        </w:rPr>
        <w:t>（一）本年财政拨款收入</w:t>
      </w:r>
      <w:r>
        <w:rPr>
          <w:rFonts w:hint="eastAsia" w:ascii="仿宋_GB2312" w:hAnsi="Calibri" w:eastAsia="仿宋_GB2312" w:cs="仿宋_GB2312"/>
          <w:sz w:val="32"/>
          <w:szCs w:val="32"/>
          <w:highlight w:val="none"/>
        </w:rPr>
        <w:t>11519.31</w:t>
      </w:r>
      <w:r>
        <w:rPr>
          <w:rFonts w:hint="eastAsia" w:ascii="楷体_GB2312" w:eastAsia="楷体_GB2312"/>
          <w:sz w:val="32"/>
          <w:szCs w:val="32"/>
          <w:highlight w:val="none"/>
        </w:rPr>
        <w:t>万元</w:t>
      </w:r>
    </w:p>
    <w:p>
      <w:pPr>
        <w:spacing w:line="56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1.一般公共预算拨款收入</w:t>
      </w:r>
      <w:r>
        <w:rPr>
          <w:rFonts w:hint="eastAsia" w:ascii="仿宋_GB2312" w:hAnsi="Calibri" w:eastAsia="仿宋_GB2312" w:cs="仿宋_GB2312"/>
          <w:sz w:val="32"/>
          <w:szCs w:val="32"/>
          <w:highlight w:val="none"/>
        </w:rPr>
        <w:t>11519.31</w:t>
      </w:r>
      <w:r>
        <w:rPr>
          <w:rFonts w:hint="eastAsia" w:ascii="仿宋_GB2312" w:eastAsia="仿宋_GB2312"/>
          <w:sz w:val="32"/>
          <w:szCs w:val="32"/>
          <w:highlight w:val="none"/>
        </w:rPr>
        <w:t>万元。</w:t>
      </w:r>
    </w:p>
    <w:p>
      <w:pPr>
        <w:spacing w:line="56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2.政府性基金预算拨款收入0万元。</w:t>
      </w:r>
    </w:p>
    <w:p>
      <w:pPr>
        <w:spacing w:line="56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3.国有资本经营预算拨款收入0万元。</w:t>
      </w:r>
    </w:p>
    <w:p>
      <w:pPr>
        <w:spacing w:line="560" w:lineRule="exact"/>
        <w:ind w:firstLine="640" w:firstLineChars="200"/>
        <w:rPr>
          <w:rFonts w:hint="eastAsia" w:ascii="楷体_GB2312" w:eastAsia="楷体_GB2312"/>
          <w:sz w:val="32"/>
          <w:szCs w:val="32"/>
          <w:highlight w:val="none"/>
        </w:rPr>
      </w:pPr>
      <w:r>
        <w:rPr>
          <w:rFonts w:hint="eastAsia" w:ascii="楷体_GB2312" w:eastAsia="楷体_GB2312"/>
          <w:sz w:val="32"/>
          <w:szCs w:val="32"/>
          <w:highlight w:val="none"/>
        </w:rPr>
        <w:t>（二）本年其他资金收入</w:t>
      </w:r>
      <w:r>
        <w:rPr>
          <w:rFonts w:hint="eastAsia" w:ascii="仿宋_GB2312" w:hAnsi="Calibri" w:eastAsia="仿宋_GB2312" w:cs="仿宋_GB2312"/>
          <w:sz w:val="32"/>
          <w:szCs w:val="32"/>
          <w:highlight w:val="none"/>
        </w:rPr>
        <w:t>299.01</w:t>
      </w:r>
      <w:r>
        <w:rPr>
          <w:rFonts w:hint="eastAsia" w:ascii="楷体_GB2312" w:eastAsia="楷体_GB2312"/>
          <w:sz w:val="32"/>
          <w:szCs w:val="32"/>
          <w:highlight w:val="none"/>
        </w:rPr>
        <w:t>万元</w:t>
      </w:r>
    </w:p>
    <w:p>
      <w:pPr>
        <w:spacing w:line="56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4.财政专户管理资金收入0万元。</w:t>
      </w:r>
    </w:p>
    <w:p>
      <w:pPr>
        <w:spacing w:line="56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5.事业收入269.01万元。</w:t>
      </w:r>
    </w:p>
    <w:p>
      <w:pPr>
        <w:spacing w:line="56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6.上级补助收入0万元。</w:t>
      </w:r>
    </w:p>
    <w:p>
      <w:pPr>
        <w:spacing w:line="56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7.附属单位上缴收入0万元。</w:t>
      </w:r>
    </w:p>
    <w:p>
      <w:pPr>
        <w:spacing w:line="56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8.事业单位经营收入0万元。</w:t>
      </w:r>
    </w:p>
    <w:p>
      <w:pPr>
        <w:spacing w:line="56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9.其他收入30万元。</w:t>
      </w:r>
    </w:p>
    <w:p>
      <w:pPr>
        <w:spacing w:line="560" w:lineRule="exact"/>
        <w:ind w:firstLine="640" w:firstLineChars="200"/>
        <w:rPr>
          <w:rFonts w:hint="eastAsia" w:ascii="楷体_GB2312" w:eastAsia="楷体_GB2312"/>
          <w:sz w:val="32"/>
          <w:szCs w:val="32"/>
          <w:highlight w:val="none"/>
        </w:rPr>
      </w:pPr>
      <w:r>
        <w:rPr>
          <w:rFonts w:hint="eastAsia" w:ascii="楷体_GB2312" w:eastAsia="楷体_GB2312"/>
          <w:sz w:val="32"/>
          <w:szCs w:val="32"/>
          <w:highlight w:val="none"/>
        </w:rPr>
        <w:t>（三）上年结转结余1738.42万元</w:t>
      </w:r>
    </w:p>
    <w:p>
      <w:pPr>
        <w:spacing w:line="56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10.上年结转结余</w:t>
      </w:r>
      <w:r>
        <w:rPr>
          <w:rFonts w:hint="eastAsia" w:ascii="楷体_GB2312" w:eastAsia="楷体_GB2312"/>
          <w:sz w:val="32"/>
          <w:szCs w:val="32"/>
          <w:highlight w:val="none"/>
        </w:rPr>
        <w:t>1738.42</w:t>
      </w:r>
      <w:r>
        <w:rPr>
          <w:rFonts w:hint="eastAsia" w:ascii="仿宋_GB2312" w:eastAsia="仿宋_GB2312"/>
          <w:sz w:val="32"/>
          <w:szCs w:val="32"/>
          <w:highlight w:val="none"/>
        </w:rPr>
        <w:t>万元。</w:t>
      </w:r>
    </w:p>
    <w:p>
      <w:pPr>
        <w:pStyle w:val="2"/>
        <w:jc w:val="center"/>
        <w:rPr>
          <w:highlight w:val="none"/>
        </w:rPr>
      </w:pPr>
      <w:r>
        <w:rPr>
          <w:rFonts w:ascii="Cambria" w:hAnsi="Cambria" w:eastAsia="黑体" w:cs="Times New Roman"/>
          <w:b/>
          <w:bCs/>
          <w:kern w:val="0"/>
          <w:sz w:val="36"/>
          <w:szCs w:val="32"/>
          <w:lang w:val="en-US" w:eastAsia="zh-CN" w:bidi="ar-SA"/>
        </w:rPr>
        <w:pict>
          <v:shape id="Picture 1" o:spid="_x0000_s1027" type="#_x0000_t75" style="height:227.05pt;width:391.7pt;rotation:0f;" o:ole="f" fillcolor="#FFFFFF" filled="f" o:preferrelative="t" stroked="f" coordorigin="0,0" coordsize="21600,21600">
            <v:fill on="f" color2="#FFFFFF" focus="0%"/>
            <v:imagedata gain="65536f" blacklevel="0f" gamma="0" o:title="" r:id="rId6"/>
            <o:lock v:ext="edit" position="f" selection="f" grouping="f" rotation="f" cropping="f" text="f" aspectratio="t"/>
            <w10:wrap type="none"/>
            <w10:anchorlock/>
          </v:shape>
        </w:pict>
      </w:r>
    </w:p>
    <w:p>
      <w:pPr>
        <w:pStyle w:val="2"/>
        <w:jc w:val="center"/>
        <w:rPr>
          <w:rFonts w:hint="eastAsia" w:ascii="仿宋_GB2312" w:eastAsia="仿宋_GB2312"/>
          <w:sz w:val="32"/>
          <w:highlight w:val="none"/>
        </w:rPr>
      </w:pPr>
      <w:r>
        <w:rPr>
          <w:rFonts w:hint="eastAsia" w:ascii="仿宋_GB2312" w:eastAsia="仿宋_GB2312"/>
          <w:sz w:val="32"/>
          <w:highlight w:val="none"/>
        </w:rPr>
        <w:t>图1：收入预算</w:t>
      </w:r>
    </w:p>
    <w:p>
      <w:pPr>
        <w:rPr>
          <w:rFonts w:hint="eastAsia"/>
          <w:highlight w:val="none"/>
        </w:rPr>
      </w:pPr>
    </w:p>
    <w:p>
      <w:pPr>
        <w:spacing w:line="560" w:lineRule="exact"/>
        <w:ind w:firstLine="640" w:firstLineChars="200"/>
        <w:rPr>
          <w:rFonts w:hint="eastAsia" w:ascii="黑体" w:eastAsia="黑体"/>
          <w:sz w:val="32"/>
          <w:szCs w:val="32"/>
          <w:highlight w:val="none"/>
        </w:rPr>
      </w:pPr>
      <w:r>
        <w:rPr>
          <w:rFonts w:hint="eastAsia" w:ascii="黑体" w:eastAsia="黑体"/>
          <w:sz w:val="32"/>
          <w:szCs w:val="32"/>
          <w:highlight w:val="none"/>
        </w:rPr>
        <w:t>三、支出预算情况说明</w:t>
      </w:r>
    </w:p>
    <w:p>
      <w:pPr>
        <w:spacing w:line="56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2025年支出预算</w:t>
      </w:r>
      <w:r>
        <w:rPr>
          <w:rFonts w:hint="eastAsia" w:ascii="仿宋_GB2312" w:hAnsi="Calibri" w:eastAsia="仿宋_GB2312" w:cs="仿宋_GB2312"/>
          <w:sz w:val="32"/>
          <w:szCs w:val="32"/>
          <w:highlight w:val="none"/>
        </w:rPr>
        <w:t>13556.74</w:t>
      </w:r>
      <w:r>
        <w:rPr>
          <w:rFonts w:hint="eastAsia" w:ascii="仿宋_GB2312" w:eastAsia="仿宋_GB2312"/>
          <w:sz w:val="32"/>
          <w:szCs w:val="32"/>
          <w:highlight w:val="none"/>
        </w:rPr>
        <w:t>万元，比2024年年初预算数13321.91万元增加234.83万元，增长1.76%。主要原因是</w:t>
      </w:r>
      <w:r>
        <w:rPr>
          <w:rFonts w:hint="eastAsia" w:ascii="仿宋_GB2312" w:hAnsi="Calibri" w:eastAsia="仿宋_GB2312" w:cs="仿宋_GB2312"/>
          <w:sz w:val="32"/>
          <w:szCs w:val="32"/>
          <w:highlight w:val="none"/>
          <w:lang w:val="en-US" w:eastAsia="zh-CN"/>
        </w:rPr>
        <w:t>增加机构发展类项目经费</w:t>
      </w:r>
      <w:r>
        <w:rPr>
          <w:rFonts w:hint="eastAsia" w:ascii="仿宋_GB2312" w:eastAsia="仿宋_GB2312"/>
          <w:sz w:val="32"/>
          <w:szCs w:val="32"/>
          <w:highlight w:val="none"/>
        </w:rPr>
        <w:t>。</w:t>
      </w:r>
    </w:p>
    <w:p>
      <w:pPr>
        <w:spacing w:line="560" w:lineRule="exact"/>
        <w:ind w:firstLine="640"/>
        <w:rPr>
          <w:rFonts w:hint="eastAsia" w:ascii="仿宋_GB2312" w:eastAsia="仿宋_GB2312"/>
          <w:sz w:val="32"/>
          <w:szCs w:val="32"/>
          <w:highlight w:val="none"/>
        </w:rPr>
      </w:pPr>
      <w:r>
        <w:rPr>
          <w:rFonts w:hint="eastAsia" w:ascii="楷体_GB2312" w:hAnsi="楷体_GB2312" w:eastAsia="楷体_GB2312" w:cs="楷体_GB2312"/>
          <w:sz w:val="32"/>
          <w:szCs w:val="32"/>
          <w:highlight w:val="none"/>
        </w:rPr>
        <w:t>（一）基本支出。</w:t>
      </w:r>
      <w:r>
        <w:rPr>
          <w:rFonts w:hint="eastAsia" w:ascii="仿宋_GB2312" w:eastAsia="仿宋_GB2312"/>
          <w:sz w:val="32"/>
          <w:szCs w:val="32"/>
          <w:highlight w:val="none"/>
        </w:rPr>
        <w:t>基本支出预算8413.54万元，占总支出预算62.06%，比2024年年初预算数9181.03万元减少767.49万元，下降8.36%。</w:t>
      </w:r>
    </w:p>
    <w:p>
      <w:pPr>
        <w:spacing w:line="560" w:lineRule="exact"/>
        <w:ind w:firstLine="640"/>
        <w:rPr>
          <w:rFonts w:hint="eastAsia" w:ascii="仿宋_GB2312" w:eastAsia="仿宋_GB2312"/>
          <w:sz w:val="32"/>
          <w:szCs w:val="32"/>
          <w:highlight w:val="none"/>
        </w:rPr>
      </w:pPr>
      <w:r>
        <w:rPr>
          <w:rFonts w:hint="eastAsia" w:ascii="楷体_GB2312" w:hAnsi="楷体_GB2312" w:eastAsia="楷体_GB2312" w:cs="楷体_GB2312"/>
          <w:sz w:val="32"/>
          <w:szCs w:val="32"/>
          <w:highlight w:val="none"/>
        </w:rPr>
        <w:t>（二）项目支出。</w:t>
      </w:r>
      <w:r>
        <w:rPr>
          <w:rFonts w:hint="eastAsia" w:ascii="仿宋_GB2312" w:eastAsia="仿宋_GB2312"/>
          <w:sz w:val="32"/>
          <w:szCs w:val="32"/>
          <w:highlight w:val="none"/>
        </w:rPr>
        <w:t>项目支出预算4524.51万元，比2024年年初预算数3569.79万元增加954.72万元，增长26.74%。其中：</w:t>
      </w:r>
    </w:p>
    <w:p>
      <w:pPr>
        <w:spacing w:line="560" w:lineRule="exact"/>
        <w:ind w:firstLine="640"/>
        <w:rPr>
          <w:rFonts w:hint="eastAsia" w:ascii="仿宋_GB2312" w:eastAsia="仿宋_GB2312"/>
          <w:sz w:val="32"/>
          <w:szCs w:val="32"/>
          <w:highlight w:val="none"/>
        </w:rPr>
      </w:pPr>
      <w:r>
        <w:rPr>
          <w:rFonts w:hint="eastAsia" w:ascii="仿宋_GB2312" w:eastAsia="仿宋_GB2312"/>
          <w:sz w:val="32"/>
          <w:szCs w:val="32"/>
          <w:highlight w:val="none"/>
        </w:rPr>
        <w:t>1.事业单位经营支出0万元。</w:t>
      </w:r>
    </w:p>
    <w:p>
      <w:pPr>
        <w:spacing w:line="560" w:lineRule="exact"/>
        <w:ind w:firstLine="640"/>
        <w:rPr>
          <w:rFonts w:hint="eastAsia" w:ascii="仿宋_GB2312" w:eastAsia="仿宋_GB2312"/>
          <w:sz w:val="32"/>
          <w:szCs w:val="32"/>
          <w:highlight w:val="none"/>
        </w:rPr>
      </w:pPr>
      <w:r>
        <w:rPr>
          <w:rFonts w:hint="eastAsia" w:ascii="仿宋_GB2312" w:eastAsia="仿宋_GB2312"/>
          <w:sz w:val="32"/>
          <w:szCs w:val="32"/>
          <w:highlight w:val="none"/>
        </w:rPr>
        <w:t>2.上缴上级支出0万元。</w:t>
      </w:r>
    </w:p>
    <w:p>
      <w:pPr>
        <w:spacing w:line="560" w:lineRule="exact"/>
        <w:ind w:firstLine="640"/>
        <w:rPr>
          <w:rFonts w:hint="eastAsia" w:ascii="仿宋_GB2312" w:eastAsia="仿宋_GB2312"/>
          <w:sz w:val="32"/>
          <w:szCs w:val="32"/>
          <w:highlight w:val="none"/>
        </w:rPr>
      </w:pPr>
      <w:r>
        <w:rPr>
          <w:rFonts w:hint="eastAsia" w:ascii="仿宋_GB2312" w:eastAsia="仿宋_GB2312"/>
          <w:sz w:val="32"/>
          <w:szCs w:val="32"/>
          <w:highlight w:val="none"/>
        </w:rPr>
        <w:t>3.对附属单位补助支出0万元。</w:t>
      </w:r>
    </w:p>
    <w:p>
      <w:pPr>
        <w:pStyle w:val="2"/>
        <w:ind w:firstLine="642"/>
        <w:jc w:val="center"/>
        <w:rPr>
          <w:highlight w:val="none"/>
        </w:rPr>
      </w:pPr>
      <w:r>
        <w:rPr>
          <w:rFonts w:ascii="Cambria" w:hAnsi="Cambria" w:eastAsia="黑体" w:cs="Times New Roman"/>
          <w:b/>
          <w:bCs/>
          <w:kern w:val="0"/>
          <w:sz w:val="36"/>
          <w:szCs w:val="32"/>
          <w:lang w:val="en-US" w:eastAsia="zh-CN" w:bidi="ar-SA"/>
        </w:rPr>
        <w:pict>
          <v:shape id="Picture 2" o:spid="_x0000_s1028" type="#_x0000_t75" style="height:212.2pt;width:343.9pt;rotation:0f;" o:ole="f" fillcolor="#FFFFFF" filled="f" o:preferrelative="t" stroked="f" coordorigin="0,0" coordsize="21600,21600">
            <v:fill on="f" color2="#FFFFFF" focus="0%"/>
            <v:imagedata gain="65536f" blacklevel="0f" gamma="0" o:title="" r:id="rId7"/>
            <o:lock v:ext="edit" position="f" selection="f" grouping="f" rotation="f" cropping="f" text="f" aspectratio="t"/>
            <w10:wrap type="none"/>
            <w10:anchorlock/>
          </v:shape>
        </w:pict>
      </w:r>
    </w:p>
    <w:p>
      <w:pPr>
        <w:pStyle w:val="2"/>
        <w:ind w:firstLine="642"/>
        <w:jc w:val="center"/>
        <w:rPr>
          <w:sz w:val="32"/>
          <w:highlight w:val="none"/>
        </w:rPr>
      </w:pPr>
      <w:r>
        <w:rPr>
          <w:rFonts w:hint="eastAsia" w:ascii="仿宋_GB2312" w:eastAsia="仿宋_GB2312"/>
          <w:sz w:val="32"/>
          <w:highlight w:val="none"/>
        </w:rPr>
        <w:t>图2：基本支出和项目支出情况</w:t>
      </w:r>
    </w:p>
    <w:p>
      <w:pPr>
        <w:numPr>
          <w:ilvl w:val="0"/>
          <w:numId w:val="2"/>
        </w:numPr>
        <w:spacing w:line="560" w:lineRule="exact"/>
        <w:ind w:firstLine="640" w:firstLineChars="200"/>
        <w:rPr>
          <w:rFonts w:hint="eastAsia" w:ascii="楷体_GB2312" w:hAnsi="楷体_GB2312" w:eastAsia="楷体_GB2312" w:cs="楷体_GB2312"/>
          <w:color w:val="000000"/>
          <w:sz w:val="32"/>
          <w:szCs w:val="32"/>
          <w:highlight w:val="none"/>
        </w:rPr>
      </w:pPr>
      <w:r>
        <w:rPr>
          <w:rFonts w:hint="eastAsia" w:ascii="楷体_GB2312" w:hAnsi="楷体_GB2312" w:eastAsia="楷体_GB2312" w:cs="楷体_GB2312"/>
          <w:color w:val="000000"/>
          <w:sz w:val="32"/>
          <w:szCs w:val="32"/>
          <w:highlight w:val="none"/>
        </w:rPr>
        <w:t>年终结转结余资金618.69万元</w:t>
      </w:r>
    </w:p>
    <w:p>
      <w:pPr>
        <w:spacing w:line="560" w:lineRule="exact"/>
        <w:ind w:firstLine="640" w:firstLineChars="200"/>
        <w:rPr>
          <w:rFonts w:hint="eastAsia" w:ascii="黑体" w:eastAsia="黑体"/>
          <w:sz w:val="32"/>
          <w:szCs w:val="32"/>
          <w:highlight w:val="none"/>
        </w:rPr>
      </w:pPr>
      <w:r>
        <w:rPr>
          <w:rFonts w:hint="eastAsia" w:ascii="黑体" w:eastAsia="黑体"/>
          <w:sz w:val="32"/>
          <w:szCs w:val="32"/>
          <w:highlight w:val="none"/>
        </w:rPr>
        <w:t>四、财政拨款“三公”经费预算情况说明</w:t>
      </w:r>
    </w:p>
    <w:p>
      <w:pPr>
        <w:spacing w:line="560" w:lineRule="exact"/>
        <w:ind w:firstLine="640" w:firstLineChars="200"/>
        <w:rPr>
          <w:rFonts w:hint="eastAsia" w:ascii="楷体_GB2312" w:eastAsia="楷体_GB2312"/>
          <w:sz w:val="32"/>
          <w:szCs w:val="32"/>
          <w:highlight w:val="none"/>
        </w:rPr>
      </w:pPr>
      <w:r>
        <w:rPr>
          <w:rFonts w:hint="eastAsia" w:ascii="楷体_GB2312" w:eastAsia="楷体_GB2312"/>
          <w:sz w:val="32"/>
          <w:szCs w:val="32"/>
          <w:highlight w:val="none"/>
        </w:rPr>
        <w:t>（一）“三公”经费的单位范围</w:t>
      </w:r>
    </w:p>
    <w:p>
      <w:pPr>
        <w:spacing w:line="560" w:lineRule="exact"/>
        <w:ind w:firstLine="640" w:firstLineChars="200"/>
        <w:rPr>
          <w:rFonts w:hint="eastAsia" w:ascii="仿宋_GB2312" w:eastAsia="仿宋_GB2312"/>
          <w:sz w:val="32"/>
          <w:szCs w:val="32"/>
          <w:highlight w:val="none"/>
        </w:rPr>
      </w:pPr>
      <w:r>
        <w:rPr>
          <w:rFonts w:hint="eastAsia" w:ascii="仿宋_GB2312" w:hAnsi="Calibri" w:eastAsia="仿宋_GB2312" w:cs="Times New Roman"/>
          <w:sz w:val="32"/>
          <w:szCs w:val="32"/>
          <w:highlight w:val="none"/>
        </w:rPr>
        <w:t>北京市儿童福利院</w:t>
      </w:r>
      <w:r>
        <w:rPr>
          <w:rFonts w:hint="eastAsia" w:ascii="仿宋_GB2312" w:eastAsia="仿宋_GB2312"/>
          <w:sz w:val="32"/>
          <w:szCs w:val="32"/>
          <w:highlight w:val="none"/>
        </w:rPr>
        <w:t>因公出国（境）费用、公务接待费、公务用车购置和运行维护费开支单位包括1个所属单位。</w:t>
      </w:r>
    </w:p>
    <w:p>
      <w:pPr>
        <w:spacing w:line="560" w:lineRule="exact"/>
        <w:ind w:firstLine="640" w:firstLineChars="200"/>
        <w:rPr>
          <w:rFonts w:hint="eastAsia" w:ascii="楷体_GB2312" w:eastAsia="楷体_GB2312"/>
          <w:sz w:val="32"/>
          <w:szCs w:val="32"/>
          <w:highlight w:val="none"/>
        </w:rPr>
      </w:pPr>
      <w:r>
        <w:rPr>
          <w:rFonts w:hint="eastAsia" w:ascii="楷体_GB2312" w:eastAsia="楷体_GB2312"/>
          <w:sz w:val="32"/>
          <w:szCs w:val="32"/>
          <w:highlight w:val="none"/>
        </w:rPr>
        <w:t>（二）财政拨款“三公”经费预算情况说明</w:t>
      </w:r>
    </w:p>
    <w:p>
      <w:pPr>
        <w:spacing w:line="56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2025年财政拨款“三公”经费预算</w:t>
      </w:r>
      <w:r>
        <w:rPr>
          <w:rFonts w:hint="eastAsia" w:ascii="仿宋_GB2312" w:eastAsia="仿宋_GB2312" w:cs="Times New Roman"/>
          <w:sz w:val="32"/>
          <w:szCs w:val="32"/>
          <w:highlight w:val="none"/>
        </w:rPr>
        <w:t>6.04</w:t>
      </w:r>
      <w:r>
        <w:rPr>
          <w:rFonts w:hint="eastAsia" w:ascii="仿宋_GB2312" w:eastAsia="仿宋_GB2312"/>
          <w:sz w:val="32"/>
          <w:szCs w:val="32"/>
          <w:highlight w:val="none"/>
        </w:rPr>
        <w:t>万元，比2024年财政拨款“三公”经费预算</w:t>
      </w:r>
      <w:r>
        <w:rPr>
          <w:rFonts w:hint="eastAsia" w:ascii="仿宋_GB2312" w:eastAsia="仿宋_GB2312" w:cs="Times New Roman"/>
          <w:sz w:val="32"/>
          <w:szCs w:val="32"/>
          <w:highlight w:val="none"/>
        </w:rPr>
        <w:t>减少0.83</w:t>
      </w:r>
      <w:r>
        <w:rPr>
          <w:rFonts w:hint="eastAsia" w:ascii="仿宋_GB2312" w:eastAsia="仿宋_GB2312"/>
          <w:sz w:val="32"/>
          <w:szCs w:val="32"/>
          <w:highlight w:val="none"/>
        </w:rPr>
        <w:t>万元。其中：</w:t>
      </w:r>
    </w:p>
    <w:p>
      <w:pPr>
        <w:spacing w:line="56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1.因公出国（境）费用。2025年预算数0万元，</w:t>
      </w:r>
      <w:r>
        <w:rPr>
          <w:rFonts w:hint="eastAsia" w:ascii="仿宋_GB2312" w:eastAsia="仿宋_GB2312" w:cs="Times New Roman"/>
          <w:sz w:val="32"/>
          <w:szCs w:val="32"/>
          <w:highlight w:val="none"/>
        </w:rPr>
        <w:t>与上年持平</w:t>
      </w:r>
      <w:r>
        <w:rPr>
          <w:rFonts w:hint="eastAsia" w:ascii="仿宋_GB2312" w:eastAsia="仿宋_GB2312"/>
          <w:sz w:val="32"/>
          <w:szCs w:val="32"/>
          <w:highlight w:val="none"/>
        </w:rPr>
        <w:t>。</w:t>
      </w:r>
    </w:p>
    <w:p>
      <w:pPr>
        <w:spacing w:line="56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2.公务接待费。2025年预算数</w:t>
      </w:r>
      <w:r>
        <w:rPr>
          <w:rFonts w:hint="eastAsia" w:ascii="仿宋_GB2312" w:eastAsia="仿宋_GB2312" w:cs="Times New Roman"/>
          <w:sz w:val="32"/>
          <w:szCs w:val="32"/>
          <w:highlight w:val="none"/>
        </w:rPr>
        <w:t>1.27</w:t>
      </w:r>
      <w:r>
        <w:rPr>
          <w:rFonts w:hint="eastAsia" w:ascii="仿宋_GB2312" w:eastAsia="仿宋_GB2312"/>
          <w:sz w:val="32"/>
          <w:szCs w:val="32"/>
          <w:highlight w:val="none"/>
        </w:rPr>
        <w:t>万元，</w:t>
      </w:r>
      <w:r>
        <w:rPr>
          <w:rFonts w:hint="eastAsia" w:ascii="仿宋_GB2312" w:eastAsia="仿宋_GB2312" w:cs="Times New Roman"/>
          <w:sz w:val="32"/>
          <w:szCs w:val="32"/>
          <w:highlight w:val="none"/>
        </w:rPr>
        <w:t>与上年持平</w:t>
      </w:r>
      <w:r>
        <w:rPr>
          <w:rFonts w:hint="eastAsia" w:ascii="仿宋_GB2312" w:eastAsia="仿宋_GB2312"/>
          <w:sz w:val="32"/>
          <w:szCs w:val="32"/>
          <w:highlight w:val="none"/>
        </w:rPr>
        <w:t>。</w:t>
      </w:r>
    </w:p>
    <w:p>
      <w:pPr>
        <w:spacing w:line="54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3.公务用车购置和运行维护费。2025年预算数</w:t>
      </w:r>
      <w:r>
        <w:rPr>
          <w:rFonts w:hint="eastAsia" w:ascii="仿宋_GB2312" w:eastAsia="仿宋_GB2312" w:cs="Times New Roman"/>
          <w:sz w:val="32"/>
          <w:szCs w:val="32"/>
          <w:highlight w:val="none"/>
        </w:rPr>
        <w:t>4.77</w:t>
      </w:r>
      <w:r>
        <w:rPr>
          <w:rFonts w:hint="eastAsia" w:ascii="仿宋_GB2312" w:eastAsia="仿宋_GB2312"/>
          <w:sz w:val="32"/>
          <w:szCs w:val="32"/>
          <w:highlight w:val="none"/>
        </w:rPr>
        <w:t>万元，包括：公务用车购置费2025年预算数0万元，</w:t>
      </w:r>
      <w:r>
        <w:rPr>
          <w:rFonts w:hint="eastAsia" w:ascii="仿宋_GB2312" w:eastAsia="仿宋_GB2312" w:cs="Times New Roman"/>
          <w:sz w:val="32"/>
          <w:szCs w:val="32"/>
          <w:highlight w:val="none"/>
        </w:rPr>
        <w:t>与2024年预算数0万元持平</w:t>
      </w:r>
      <w:r>
        <w:rPr>
          <w:rFonts w:hint="eastAsia" w:ascii="仿宋_GB2312" w:eastAsia="仿宋_GB2312"/>
          <w:sz w:val="32"/>
          <w:szCs w:val="32"/>
          <w:highlight w:val="none"/>
        </w:rPr>
        <w:t>；公务用车运行维护费2025年预算数</w:t>
      </w:r>
      <w:r>
        <w:rPr>
          <w:rFonts w:hint="eastAsia" w:ascii="仿宋_GB2312" w:eastAsia="仿宋_GB2312" w:cs="Times New Roman"/>
          <w:sz w:val="32"/>
          <w:szCs w:val="32"/>
          <w:highlight w:val="none"/>
        </w:rPr>
        <w:t>4.77</w:t>
      </w:r>
      <w:r>
        <w:rPr>
          <w:rFonts w:hint="eastAsia" w:ascii="仿宋_GB2312" w:eastAsia="仿宋_GB2312"/>
          <w:sz w:val="32"/>
          <w:szCs w:val="32"/>
          <w:highlight w:val="none"/>
        </w:rPr>
        <w:t>万元，其中：公务用车燃油0万元，公务用车维修</w:t>
      </w:r>
      <w:r>
        <w:rPr>
          <w:rFonts w:hint="eastAsia" w:ascii="仿宋_GB2312" w:eastAsia="仿宋_GB2312" w:cs="Times New Roman"/>
          <w:sz w:val="32"/>
          <w:szCs w:val="32"/>
          <w:highlight w:val="none"/>
        </w:rPr>
        <w:t>1.84</w:t>
      </w:r>
      <w:r>
        <w:rPr>
          <w:rFonts w:hint="eastAsia" w:ascii="仿宋_GB2312" w:eastAsia="仿宋_GB2312"/>
          <w:sz w:val="32"/>
          <w:szCs w:val="32"/>
          <w:highlight w:val="none"/>
        </w:rPr>
        <w:t>万元，公务用车保险</w:t>
      </w:r>
      <w:r>
        <w:rPr>
          <w:rFonts w:hint="eastAsia" w:ascii="仿宋_GB2312" w:eastAsia="仿宋_GB2312" w:cs="Times New Roman"/>
          <w:sz w:val="32"/>
          <w:szCs w:val="32"/>
          <w:highlight w:val="none"/>
        </w:rPr>
        <w:t>1.77</w:t>
      </w:r>
      <w:r>
        <w:rPr>
          <w:rFonts w:hint="eastAsia" w:ascii="仿宋_GB2312" w:eastAsia="仿宋_GB2312"/>
          <w:sz w:val="32"/>
          <w:szCs w:val="32"/>
          <w:highlight w:val="none"/>
        </w:rPr>
        <w:t>万元，其他支出</w:t>
      </w:r>
      <w:r>
        <w:rPr>
          <w:rFonts w:hint="eastAsia" w:ascii="仿宋_GB2312" w:eastAsia="仿宋_GB2312" w:cs="Times New Roman"/>
          <w:sz w:val="32"/>
          <w:szCs w:val="32"/>
          <w:highlight w:val="none"/>
        </w:rPr>
        <w:t>1.16</w:t>
      </w:r>
      <w:r>
        <w:rPr>
          <w:rFonts w:hint="eastAsia" w:ascii="仿宋_GB2312" w:eastAsia="仿宋_GB2312"/>
          <w:sz w:val="32"/>
          <w:szCs w:val="32"/>
          <w:highlight w:val="none"/>
        </w:rPr>
        <w:t>万元。公务用车运行维护费2025年预算数比2024年年初预算数</w:t>
      </w:r>
      <w:r>
        <w:rPr>
          <w:rFonts w:hint="eastAsia" w:ascii="仿宋_GB2312" w:eastAsia="仿宋_GB2312" w:cs="Times New Roman"/>
          <w:sz w:val="32"/>
          <w:szCs w:val="32"/>
          <w:highlight w:val="none"/>
        </w:rPr>
        <w:t>5.6</w:t>
      </w:r>
      <w:r>
        <w:rPr>
          <w:rFonts w:hint="eastAsia" w:ascii="仿宋_GB2312" w:eastAsia="仿宋_GB2312"/>
          <w:sz w:val="32"/>
          <w:szCs w:val="32"/>
          <w:highlight w:val="none"/>
        </w:rPr>
        <w:t>万元减少0.83万元，主要原因：</w:t>
      </w:r>
      <w:r>
        <w:rPr>
          <w:rFonts w:hint="eastAsia" w:ascii="仿宋_GB2312" w:eastAsia="仿宋_GB2312"/>
          <w:sz w:val="32"/>
          <w:szCs w:val="32"/>
          <w:highlight w:val="none"/>
          <w:lang w:val="en-US" w:eastAsia="zh-CN"/>
        </w:rPr>
        <w:t>厉行节约，减少非必要支出</w:t>
      </w:r>
      <w:r>
        <w:rPr>
          <w:rFonts w:hint="eastAsia" w:ascii="仿宋_GB2312" w:eastAsia="仿宋_GB2312"/>
          <w:sz w:val="32"/>
          <w:szCs w:val="32"/>
          <w:highlight w:val="none"/>
        </w:rPr>
        <w:t>。</w:t>
      </w:r>
    </w:p>
    <w:p>
      <w:pPr>
        <w:spacing w:line="560" w:lineRule="exact"/>
        <w:ind w:firstLine="640" w:firstLineChars="200"/>
        <w:rPr>
          <w:rFonts w:hint="eastAsia" w:ascii="黑体" w:eastAsia="黑体"/>
          <w:sz w:val="32"/>
          <w:szCs w:val="32"/>
          <w:highlight w:val="none"/>
        </w:rPr>
      </w:pPr>
      <w:r>
        <w:rPr>
          <w:rFonts w:hint="eastAsia" w:ascii="黑体" w:eastAsia="黑体"/>
          <w:sz w:val="32"/>
          <w:szCs w:val="32"/>
          <w:highlight w:val="none"/>
        </w:rPr>
        <w:t>五、其他情况说明</w:t>
      </w:r>
    </w:p>
    <w:p>
      <w:pPr>
        <w:spacing w:line="560" w:lineRule="exact"/>
        <w:ind w:firstLine="640" w:firstLineChars="200"/>
        <w:rPr>
          <w:rFonts w:hint="eastAsia" w:ascii="楷体_GB2312" w:eastAsia="楷体_GB2312"/>
          <w:sz w:val="32"/>
          <w:szCs w:val="32"/>
          <w:highlight w:val="none"/>
        </w:rPr>
      </w:pPr>
      <w:r>
        <w:rPr>
          <w:rFonts w:hint="eastAsia" w:ascii="楷体_GB2312" w:eastAsia="楷体_GB2312"/>
          <w:sz w:val="32"/>
          <w:szCs w:val="32"/>
          <w:highlight w:val="none"/>
        </w:rPr>
        <w:t>（一）政府采购预算说明</w:t>
      </w:r>
    </w:p>
    <w:p>
      <w:pPr>
        <w:spacing w:line="56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2025年</w:t>
      </w:r>
      <w:r>
        <w:rPr>
          <w:rFonts w:hint="eastAsia" w:ascii="仿宋_GB2312" w:eastAsia="仿宋_GB2312" w:cs="Times New Roman"/>
          <w:sz w:val="32"/>
          <w:szCs w:val="32"/>
          <w:highlight w:val="none"/>
        </w:rPr>
        <w:t>北京市儿童福利院</w:t>
      </w:r>
      <w:r>
        <w:rPr>
          <w:rFonts w:hint="eastAsia" w:ascii="仿宋_GB2312" w:eastAsia="仿宋_GB2312"/>
          <w:sz w:val="32"/>
          <w:szCs w:val="32"/>
          <w:highlight w:val="none"/>
        </w:rPr>
        <w:t>政府采购预算总额3065.48万元，其中：政府采购货物预算737.19万元，政府采购工程预算173.45万元，政府采购服务预算2154.84万元。</w:t>
      </w:r>
    </w:p>
    <w:p>
      <w:pPr>
        <w:spacing w:line="560" w:lineRule="exact"/>
        <w:ind w:firstLine="640" w:firstLineChars="200"/>
        <w:rPr>
          <w:rFonts w:hint="eastAsia" w:ascii="楷体_GB2312" w:eastAsia="楷体_GB2312"/>
          <w:sz w:val="32"/>
          <w:szCs w:val="32"/>
          <w:highlight w:val="none"/>
        </w:rPr>
      </w:pPr>
      <w:r>
        <w:rPr>
          <w:rFonts w:hint="eastAsia" w:ascii="楷体_GB2312" w:eastAsia="楷体_GB2312"/>
          <w:sz w:val="32"/>
          <w:szCs w:val="32"/>
          <w:highlight w:val="none"/>
        </w:rPr>
        <w:t>（二）政府购买服务预算说明</w:t>
      </w:r>
    </w:p>
    <w:p>
      <w:pPr>
        <w:suppressAutoHyphens/>
        <w:ind w:firstLine="600"/>
        <w:rPr>
          <w:rFonts w:hint="eastAsia" w:ascii="仿宋_GB2312" w:eastAsia="仿宋_GB2312" w:cs="仿宋_GB2312"/>
          <w:sz w:val="32"/>
          <w:szCs w:val="32"/>
          <w:highlight w:val="none"/>
        </w:rPr>
      </w:pPr>
      <w:r>
        <w:rPr>
          <w:rFonts w:hint="eastAsia" w:ascii="仿宋_GB2312" w:hAnsi="Calibri" w:eastAsia="仿宋_GB2312" w:cs="仿宋_GB2312"/>
          <w:color w:val="000000"/>
          <w:sz w:val="32"/>
          <w:szCs w:val="32"/>
          <w:highlight w:val="none"/>
        </w:rPr>
        <w:t>本单位不在</w:t>
      </w:r>
      <w:r>
        <w:rPr>
          <w:rFonts w:hint="eastAsia" w:ascii="仿宋_GB2312" w:eastAsia="仿宋_GB2312" w:cs="仿宋_GB2312"/>
          <w:sz w:val="32"/>
          <w:szCs w:val="32"/>
          <w:highlight w:val="none"/>
        </w:rPr>
        <w:t>政府购买服务</w:t>
      </w:r>
      <w:r>
        <w:rPr>
          <w:rFonts w:hint="eastAsia" w:ascii="仿宋_GB2312" w:hAnsi="Calibri" w:eastAsia="仿宋_GB2312" w:cs="仿宋_GB2312"/>
          <w:color w:val="000000"/>
          <w:sz w:val="32"/>
          <w:szCs w:val="32"/>
          <w:highlight w:val="none"/>
        </w:rPr>
        <w:t>统计范围之内</w:t>
      </w:r>
      <w:r>
        <w:rPr>
          <w:rFonts w:hint="eastAsia" w:ascii="仿宋_GB2312" w:eastAsia="仿宋_GB2312" w:cs="仿宋_GB2312"/>
          <w:sz w:val="32"/>
          <w:szCs w:val="32"/>
          <w:highlight w:val="none"/>
        </w:rPr>
        <w:t>。</w:t>
      </w:r>
    </w:p>
    <w:p>
      <w:pPr>
        <w:spacing w:line="560" w:lineRule="exact"/>
        <w:ind w:firstLine="640" w:firstLineChars="200"/>
        <w:rPr>
          <w:rFonts w:hint="eastAsia" w:ascii="楷体_GB2312" w:eastAsia="楷体_GB2312"/>
          <w:sz w:val="32"/>
          <w:szCs w:val="32"/>
          <w:highlight w:val="none"/>
        </w:rPr>
      </w:pPr>
      <w:r>
        <w:rPr>
          <w:rFonts w:hint="eastAsia" w:ascii="楷体_GB2312" w:eastAsia="楷体_GB2312"/>
          <w:sz w:val="32"/>
          <w:szCs w:val="32"/>
          <w:highlight w:val="none"/>
        </w:rPr>
        <w:t>（三）机关运行经费说明</w:t>
      </w:r>
    </w:p>
    <w:p>
      <w:pPr>
        <w:ind w:firstLine="600"/>
        <w:rPr>
          <w:rFonts w:hint="eastAsia" w:ascii="仿宋_GB2312" w:eastAsia="仿宋_GB2312" w:cs="仿宋_GB2312"/>
          <w:color w:val="000000"/>
          <w:sz w:val="32"/>
          <w:szCs w:val="32"/>
          <w:highlight w:val="none"/>
        </w:rPr>
      </w:pPr>
      <w:r>
        <w:rPr>
          <w:rFonts w:hint="eastAsia" w:ascii="仿宋_GB2312" w:eastAsia="仿宋_GB2312" w:cs="仿宋_GB2312"/>
          <w:color w:val="000000"/>
          <w:sz w:val="32"/>
          <w:szCs w:val="32"/>
          <w:highlight w:val="none"/>
        </w:rPr>
        <w:t>本单位不在机关运行经费统计范围之内。</w:t>
      </w:r>
    </w:p>
    <w:p>
      <w:pPr>
        <w:spacing w:line="560" w:lineRule="exact"/>
        <w:ind w:firstLine="640" w:firstLineChars="200"/>
        <w:rPr>
          <w:rFonts w:hint="eastAsia" w:ascii="楷体_GB2312" w:eastAsia="楷体_GB2312"/>
          <w:sz w:val="32"/>
          <w:szCs w:val="32"/>
          <w:highlight w:val="none"/>
        </w:rPr>
      </w:pPr>
      <w:r>
        <w:rPr>
          <w:rFonts w:hint="eastAsia" w:ascii="楷体_GB2312" w:eastAsia="楷体_GB2312"/>
          <w:sz w:val="32"/>
          <w:szCs w:val="32"/>
          <w:highlight w:val="none"/>
        </w:rPr>
        <w:t>（四）项目支出绩效目标情况说明</w:t>
      </w:r>
    </w:p>
    <w:p>
      <w:pPr>
        <w:spacing w:line="56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2025年，</w:t>
      </w:r>
      <w:r>
        <w:rPr>
          <w:rFonts w:hint="eastAsia" w:ascii="仿宋_GB2312" w:hAnsi="Calibri" w:eastAsia="仿宋_GB2312" w:cs="Times New Roman"/>
          <w:sz w:val="32"/>
          <w:szCs w:val="32"/>
          <w:highlight w:val="none"/>
        </w:rPr>
        <w:t>北京市儿童福利院</w:t>
      </w:r>
      <w:r>
        <w:rPr>
          <w:rFonts w:hint="eastAsia" w:ascii="仿宋_GB2312" w:eastAsia="仿宋_GB2312"/>
          <w:sz w:val="32"/>
          <w:szCs w:val="32"/>
          <w:highlight w:val="none"/>
        </w:rPr>
        <w:t>填报绩效目标的预算项目</w:t>
      </w:r>
      <w:r>
        <w:rPr>
          <w:rFonts w:hint="eastAsia" w:ascii="仿宋_GB2312" w:eastAsia="仿宋_GB2312"/>
          <w:sz w:val="32"/>
          <w:szCs w:val="32"/>
          <w:highlight w:val="none"/>
          <w:lang w:val="en-US" w:eastAsia="zh-CN"/>
        </w:rPr>
        <w:t>12</w:t>
      </w:r>
      <w:r>
        <w:rPr>
          <w:rFonts w:hint="eastAsia" w:ascii="仿宋_GB2312" w:eastAsia="仿宋_GB2312"/>
          <w:sz w:val="32"/>
          <w:szCs w:val="32"/>
          <w:highlight w:val="none"/>
        </w:rPr>
        <w:t>个，占本单位本年预算项目</w:t>
      </w:r>
      <w:r>
        <w:rPr>
          <w:rFonts w:hint="eastAsia" w:ascii="仿宋_GB2312" w:eastAsia="仿宋_GB2312"/>
          <w:sz w:val="32"/>
          <w:szCs w:val="32"/>
          <w:highlight w:val="none"/>
          <w:lang w:val="en-US" w:eastAsia="zh-CN"/>
        </w:rPr>
        <w:t>12</w:t>
      </w:r>
      <w:r>
        <w:rPr>
          <w:rFonts w:hint="eastAsia" w:ascii="仿宋_GB2312" w:eastAsia="仿宋_GB2312"/>
          <w:sz w:val="32"/>
          <w:szCs w:val="32"/>
          <w:highlight w:val="none"/>
        </w:rPr>
        <w:t>个的100%。填报绩效目标的项目支出预算</w:t>
      </w:r>
      <w:r>
        <w:rPr>
          <w:rFonts w:hint="eastAsia" w:ascii="仿宋_GB2312" w:eastAsia="仿宋_GB2312"/>
          <w:sz w:val="32"/>
          <w:szCs w:val="32"/>
          <w:highlight w:val="none"/>
          <w:lang w:val="en-US" w:eastAsia="zh-CN"/>
        </w:rPr>
        <w:t>3633.21</w:t>
      </w:r>
      <w:r>
        <w:rPr>
          <w:rFonts w:hint="eastAsia" w:ascii="仿宋_GB2312" w:eastAsia="仿宋_GB2312"/>
          <w:sz w:val="32"/>
          <w:szCs w:val="32"/>
          <w:highlight w:val="none"/>
        </w:rPr>
        <w:t>万元，占本单位本年项目支出预算的100%。</w:t>
      </w:r>
    </w:p>
    <w:p>
      <w:pPr>
        <w:spacing w:line="560" w:lineRule="exact"/>
        <w:ind w:firstLine="640" w:firstLineChars="200"/>
        <w:rPr>
          <w:rFonts w:hint="eastAsia" w:ascii="楷体_GB2312" w:eastAsia="楷体_GB2312"/>
          <w:sz w:val="32"/>
          <w:szCs w:val="32"/>
          <w:highlight w:val="none"/>
        </w:rPr>
      </w:pPr>
      <w:r>
        <w:rPr>
          <w:rFonts w:hint="eastAsia" w:ascii="楷体_GB2312" w:eastAsia="楷体_GB2312"/>
          <w:sz w:val="32"/>
          <w:szCs w:val="32"/>
          <w:highlight w:val="none"/>
        </w:rPr>
        <w:t>（五）重点行政事业性收费情况说明</w:t>
      </w:r>
    </w:p>
    <w:p>
      <w:pPr>
        <w:spacing w:line="560" w:lineRule="exact"/>
        <w:ind w:firstLine="480" w:firstLineChars="150"/>
        <w:rPr>
          <w:rFonts w:hint="eastAsia" w:ascii="仿宋_GB2312" w:eastAsia="仿宋_GB2312"/>
          <w:sz w:val="32"/>
          <w:szCs w:val="32"/>
          <w:highlight w:val="none"/>
        </w:rPr>
      </w:pPr>
      <w:r>
        <w:rPr>
          <w:rFonts w:hint="eastAsia" w:ascii="仿宋_GB2312" w:eastAsia="仿宋_GB2312"/>
          <w:sz w:val="32"/>
          <w:szCs w:val="32"/>
          <w:highlight w:val="none"/>
        </w:rPr>
        <w:t>本单位2025年无重点行政事业性收费。</w:t>
      </w:r>
    </w:p>
    <w:p>
      <w:pPr>
        <w:spacing w:line="560" w:lineRule="exact"/>
        <w:ind w:firstLine="640" w:firstLineChars="200"/>
        <w:rPr>
          <w:rFonts w:hint="eastAsia" w:ascii="楷体_GB2312" w:eastAsia="楷体_GB2312"/>
          <w:sz w:val="32"/>
          <w:szCs w:val="32"/>
          <w:highlight w:val="none"/>
        </w:rPr>
      </w:pPr>
      <w:r>
        <w:rPr>
          <w:rFonts w:hint="eastAsia" w:ascii="楷体_GB2312" w:eastAsia="楷体_GB2312"/>
          <w:sz w:val="32"/>
          <w:szCs w:val="32"/>
          <w:highlight w:val="none"/>
        </w:rPr>
        <w:t>（六）国有资本经营预算财政拨款情况说明</w:t>
      </w:r>
    </w:p>
    <w:p>
      <w:pPr>
        <w:spacing w:line="560" w:lineRule="exact"/>
        <w:ind w:firstLine="640" w:firstLineChars="200"/>
        <w:rPr>
          <w:rFonts w:hint="eastAsia" w:ascii="仿宋_GB2312" w:eastAsia="仿宋_GB2312"/>
          <w:color w:val="000000"/>
          <w:sz w:val="32"/>
          <w:szCs w:val="32"/>
          <w:highlight w:val="none"/>
        </w:rPr>
      </w:pPr>
      <w:r>
        <w:rPr>
          <w:rFonts w:hint="eastAsia" w:ascii="仿宋_GB2312" w:eastAsia="仿宋_GB2312"/>
          <w:sz w:val="32"/>
          <w:szCs w:val="32"/>
          <w:highlight w:val="none"/>
        </w:rPr>
        <w:t>本单位2025</w:t>
      </w:r>
      <w:r>
        <w:rPr>
          <w:rFonts w:hint="eastAsia" w:ascii="仿宋_GB2312" w:eastAsia="仿宋_GB2312"/>
          <w:color w:val="000000"/>
          <w:sz w:val="32"/>
          <w:szCs w:val="32"/>
          <w:highlight w:val="none"/>
        </w:rPr>
        <w:t>年无国有资本经营预算财政拨款安排的预算。</w:t>
      </w:r>
    </w:p>
    <w:p>
      <w:pPr>
        <w:spacing w:line="560" w:lineRule="exact"/>
        <w:ind w:firstLine="640" w:firstLineChars="200"/>
        <w:rPr>
          <w:rFonts w:hint="eastAsia" w:ascii="楷体_GB2312" w:eastAsia="楷体_GB2312"/>
          <w:color w:val="000000"/>
          <w:sz w:val="32"/>
          <w:szCs w:val="32"/>
          <w:highlight w:val="none"/>
        </w:rPr>
      </w:pPr>
      <w:r>
        <w:rPr>
          <w:rFonts w:hint="eastAsia" w:ascii="楷体_GB2312" w:eastAsia="楷体_GB2312"/>
          <w:color w:val="000000"/>
          <w:sz w:val="32"/>
          <w:szCs w:val="32"/>
          <w:highlight w:val="none"/>
        </w:rPr>
        <w:t>（七）国有资产占用情况说明</w:t>
      </w:r>
    </w:p>
    <w:p>
      <w:pPr>
        <w:spacing w:line="560" w:lineRule="exact"/>
        <w:ind w:firstLine="640" w:firstLineChars="200"/>
        <w:rPr>
          <w:rFonts w:hint="eastAsia" w:ascii="仿宋_GB2312" w:eastAsia="仿宋_GB2312"/>
          <w:color w:val="000000"/>
          <w:sz w:val="32"/>
          <w:szCs w:val="32"/>
          <w:highlight w:val="none"/>
        </w:rPr>
      </w:pPr>
      <w:r>
        <w:rPr>
          <w:rFonts w:hint="eastAsia" w:ascii="仿宋_GB2312" w:eastAsia="仿宋_GB2312"/>
          <w:color w:val="000000"/>
          <w:sz w:val="32"/>
          <w:szCs w:val="32"/>
          <w:highlight w:val="none"/>
        </w:rPr>
        <w:t>截至2024年底，北京市儿童福利院共有车辆5台，共计89.09万元；单位价值50万元以上的设备4台（套）、共计611.12万元。2025年预算</w:t>
      </w:r>
      <w:r>
        <w:rPr>
          <w:rFonts w:hint="eastAsia" w:ascii="仿宋_GB2312" w:eastAsia="仿宋_GB2312" w:cs="仿宋_GB2312"/>
          <w:color w:val="000000"/>
          <w:sz w:val="32"/>
          <w:szCs w:val="32"/>
          <w:highlight w:val="none"/>
        </w:rPr>
        <w:t>未安排购置单位价值50万元以上的设备。</w:t>
      </w:r>
    </w:p>
    <w:p>
      <w:pPr>
        <w:numPr>
          <w:ilvl w:val="0"/>
          <w:numId w:val="3"/>
        </w:numPr>
        <w:spacing w:line="560" w:lineRule="exact"/>
        <w:ind w:firstLine="640" w:firstLineChars="200"/>
        <w:rPr>
          <w:rFonts w:hint="eastAsia" w:ascii="黑体" w:eastAsia="黑体"/>
          <w:color w:val="000000"/>
          <w:sz w:val="32"/>
          <w:szCs w:val="32"/>
          <w:highlight w:val="none"/>
        </w:rPr>
      </w:pPr>
      <w:r>
        <w:rPr>
          <w:rFonts w:hint="eastAsia" w:ascii="黑体" w:eastAsia="黑体"/>
          <w:color w:val="000000"/>
          <w:sz w:val="32"/>
          <w:szCs w:val="32"/>
          <w:highlight w:val="none"/>
        </w:rPr>
        <w:t>名词解释</w:t>
      </w:r>
    </w:p>
    <w:p>
      <w:pPr>
        <w:spacing w:line="560" w:lineRule="exact"/>
        <w:ind w:firstLine="640" w:firstLineChars="200"/>
        <w:rPr>
          <w:rFonts w:hint="eastAsia" w:ascii="仿宋_GB2312" w:eastAsia="仿宋_GB2312"/>
          <w:color w:val="000000"/>
          <w:sz w:val="32"/>
          <w:szCs w:val="32"/>
          <w:highlight w:val="none"/>
        </w:rPr>
      </w:pPr>
      <w:r>
        <w:rPr>
          <w:rFonts w:hint="eastAsia" w:ascii="仿宋_GB2312" w:eastAsia="仿宋_GB2312"/>
          <w:color w:val="000000"/>
          <w:sz w:val="32"/>
          <w:szCs w:val="32"/>
          <w:highlight w:val="none"/>
        </w:rPr>
        <w:t>基本支出：指为保障机构正常运转、完成日常工作任务而发生的人员支出和公用支出。</w:t>
      </w:r>
    </w:p>
    <w:p>
      <w:pPr>
        <w:spacing w:line="560" w:lineRule="exact"/>
        <w:ind w:firstLine="640" w:firstLineChars="200"/>
        <w:rPr>
          <w:rFonts w:hint="eastAsia" w:ascii="仿宋_GB2312" w:eastAsia="仿宋_GB2312"/>
          <w:color w:val="000000"/>
          <w:sz w:val="32"/>
          <w:szCs w:val="32"/>
          <w:highlight w:val="none"/>
        </w:rPr>
      </w:pPr>
      <w:r>
        <w:rPr>
          <w:rFonts w:hint="eastAsia" w:ascii="仿宋_GB2312" w:eastAsia="仿宋_GB2312"/>
          <w:color w:val="000000"/>
          <w:sz w:val="32"/>
          <w:szCs w:val="32"/>
          <w:highlight w:val="none"/>
        </w:rPr>
        <w:t>项目支出：指在基本支出之外为完成特定行政任务或事业发展目标所发生的支出。</w:t>
      </w:r>
    </w:p>
    <w:p>
      <w:pPr>
        <w:spacing w:line="560" w:lineRule="exact"/>
        <w:ind w:firstLine="640" w:firstLineChars="200"/>
        <w:rPr>
          <w:rFonts w:hint="eastAsia" w:ascii="仿宋_GB2312" w:eastAsia="仿宋_GB2312"/>
          <w:color w:val="000000"/>
          <w:sz w:val="32"/>
          <w:szCs w:val="32"/>
          <w:highlight w:val="none"/>
        </w:rPr>
      </w:pPr>
      <w:r>
        <w:rPr>
          <w:rFonts w:hint="eastAsia" w:ascii="仿宋_GB2312" w:eastAsia="仿宋_GB2312"/>
          <w:color w:val="000000"/>
          <w:sz w:val="32"/>
          <w:szCs w:val="32"/>
          <w:highlight w:val="none"/>
        </w:rPr>
        <w:t>“三公”经费财政拨款预算数：指本单位当年单位预算安排的因公出国（境）费用、公务接待费、公务用车购置和运行维护费预算数。</w:t>
      </w:r>
    </w:p>
    <w:p>
      <w:pPr>
        <w:spacing w:line="560" w:lineRule="exact"/>
        <w:jc w:val="center"/>
        <w:rPr>
          <w:rFonts w:hint="eastAsia" w:ascii="方正小标宋简体" w:eastAsia="方正小标宋简体"/>
          <w:color w:val="000000"/>
          <w:sz w:val="36"/>
          <w:szCs w:val="36"/>
          <w:highlight w:val="none"/>
        </w:rPr>
      </w:pPr>
    </w:p>
    <w:p>
      <w:pPr>
        <w:spacing w:line="560" w:lineRule="exact"/>
        <w:jc w:val="center"/>
        <w:rPr>
          <w:rFonts w:hint="eastAsia" w:ascii="方正小标宋简体" w:eastAsia="方正小标宋简体"/>
          <w:color w:val="000000"/>
          <w:sz w:val="36"/>
          <w:szCs w:val="36"/>
          <w:highlight w:val="none"/>
        </w:rPr>
      </w:pPr>
      <w:r>
        <w:rPr>
          <w:rFonts w:hint="eastAsia" w:ascii="方正小标宋简体" w:eastAsia="方正小标宋简体"/>
          <w:color w:val="000000"/>
          <w:sz w:val="36"/>
          <w:szCs w:val="36"/>
          <w:highlight w:val="none"/>
        </w:rPr>
        <w:t>第二部分  2025年度单位预算报表</w:t>
      </w:r>
    </w:p>
    <w:p>
      <w:pPr>
        <w:spacing w:line="560" w:lineRule="exact"/>
        <w:ind w:firstLine="640" w:firstLineChars="200"/>
        <w:jc w:val="left"/>
        <w:rPr>
          <w:rFonts w:hint="eastAsia" w:ascii="仿宋_GB2312" w:eastAsia="仿宋_GB2312"/>
          <w:color w:val="000000"/>
          <w:sz w:val="32"/>
          <w:szCs w:val="32"/>
          <w:highlight w:val="none"/>
        </w:rPr>
      </w:pPr>
    </w:p>
    <w:p>
      <w:pPr>
        <w:spacing w:line="560" w:lineRule="exact"/>
        <w:ind w:firstLine="640" w:firstLineChars="200"/>
        <w:rPr>
          <w:rFonts w:hint="eastAsia" w:ascii="仿宋_GB2312" w:eastAsia="仿宋_GB2312"/>
          <w:color w:val="000000"/>
          <w:sz w:val="32"/>
          <w:szCs w:val="32"/>
          <w:highlight w:val="none"/>
        </w:rPr>
      </w:pPr>
      <w:r>
        <w:rPr>
          <w:rFonts w:hint="eastAsia" w:ascii="仿宋_GB2312" w:eastAsia="仿宋_GB2312"/>
          <w:color w:val="000000"/>
          <w:sz w:val="32"/>
          <w:szCs w:val="32"/>
          <w:highlight w:val="none"/>
        </w:rPr>
        <w:t>附件：北京市儿童福利院2025年度单位预算报表</w:t>
      </w:r>
      <w:r>
        <w:rPr>
          <w:rFonts w:hint="eastAsia" w:ascii="仿宋_GB2312" w:eastAsia="仿宋_GB2312" w:cs="宋体"/>
          <w:color w:val="000000"/>
          <w:kern w:val="0"/>
          <w:sz w:val="32"/>
          <w:szCs w:val="32"/>
          <w:highlight w:val="none"/>
          <w:lang w:val="zh-CN"/>
        </w:rPr>
        <w:t xml:space="preserve"> </w:t>
      </w:r>
    </w:p>
    <w:p>
      <w:pPr>
        <w:rPr>
          <w:rFonts w:hint="eastAsia" w:ascii="仿宋_GB2312" w:eastAsia="仿宋_GB2312"/>
          <w:sz w:val="32"/>
          <w:szCs w:val="32"/>
          <w:highlight w:val="none"/>
        </w:rPr>
      </w:pPr>
      <w:bookmarkStart w:id="0" w:name="chaosong"/>
      <w:bookmarkEnd w:id="0"/>
    </w:p>
    <w:p>
      <w:pPr>
        <w:rPr>
          <w:highlight w:val="none"/>
        </w:rPr>
      </w:pPr>
    </w:p>
    <w:sectPr>
      <w:footerReference r:id="rId4" w:type="default"/>
      <w:pgSz w:w="11906" w:h="16838"/>
      <w:pgMar w:top="1440" w:right="1800" w:bottom="1440" w:left="1800"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Droid Sans">
    <w:altName w:val="微软雅黑"/>
    <w:panose1 w:val="00000000000000000000"/>
    <w:charset w:val="00"/>
    <w:family w:val="auto"/>
    <w:pitch w:val="default"/>
    <w:sig w:usb0="00000000" w:usb1="00000000" w:usb2="00000000" w:usb3="00000000" w:csb0="00040001" w:csb1="00000000"/>
  </w:font>
  <w:font w:name="Cambria">
    <w:panose1 w:val="02040503050406030204"/>
    <w:charset w:val="00"/>
    <w:family w:val="auto"/>
    <w:pitch w:val="default"/>
    <w:sig w:usb0="E00006FF" w:usb1="420024FF" w:usb2="02000000"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Calibri">
    <w:panose1 w:val="020F0502020204030204"/>
    <w:charset w:val="00"/>
    <w:family w:val="auto"/>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jc w:val="right"/>
      <w:rPr>
        <w:rFonts w:ascii="宋体" w:hAnsi="宋体"/>
        <w:sz w:val="28"/>
        <w:szCs w:val="28"/>
      </w:rPr>
    </w:pPr>
    <w:r>
      <w:rPr>
        <w:rFonts w:ascii="Times New Roman" w:hAnsi="Times New Roman" w:eastAsia="宋体" w:cs="Times New Roman"/>
        <w:kern w:val="2"/>
        <w:sz w:val="28"/>
        <w:szCs w:val="20"/>
        <w:lang w:val="en-US" w:eastAsia="zh-CN" w:bidi="ar-SA"/>
      </w:rPr>
      <w:pict>
        <v:rect id="文本框 1" o:spid="_x0000_s1025" style="position:absolute;left:0;margin-top:0pt;height:144pt;width:144pt;mso-position-horizontal:outside;mso-position-horizontal-relative:margin;mso-wrap-style:none;rotation:0f;z-index:251658240;" o:ole="f" fillcolor="#FFFFFF" filled="f" o:preferrelative="t" stroked="f" coordsize="21600,21600">
          <v:fill on="f" color2="#FFFFFF" focus="0%"/>
          <v:imagedata gain="65536f" blacklevel="0f" gamma="0"/>
          <o:lock v:ext="edit" position="f" selection="f" grouping="f" rotation="f" cropping="f" text="f" aspectratio="f"/>
          <v:textbox inset="0.00pt,0.00pt,0.00pt,0.00pt" style="mso-fit-shape-to-text:t;">
            <w:txbxContent>
              <w:p>
                <w:pPr>
                  <w:pStyle w:val="4"/>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8 -</w:t>
                </w:r>
                <w:r>
                  <w:rPr>
                    <w:rFonts w:ascii="宋体" w:hAnsi="宋体"/>
                    <w:sz w:val="28"/>
                    <w:szCs w:val="28"/>
                  </w:rPr>
                  <w:fldChar w:fldCharType="end"/>
                </w:r>
              </w:p>
            </w:txbxContent>
          </v:textbox>
        </v:rect>
      </w:pict>
    </w:r>
  </w:p>
  <w:p>
    <w:pPr>
      <w:pStyle w:val="4"/>
      <w:ind w:right="360" w:firstLine="360"/>
      <w:rPr>
        <w:rFonts w:hint="eastAsia"/>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4128509663">
    <w:nsid w:val="F6140EDF"/>
    <w:multiLevelType w:val="singleLevel"/>
    <w:tmpl w:val="F6140EDF"/>
    <w:lvl w:ilvl="0" w:tentative="1">
      <w:start w:val="6"/>
      <w:numFmt w:val="chineseCounting"/>
      <w:suff w:val="nothing"/>
      <w:lvlText w:val="%1、"/>
      <w:lvlJc w:val="left"/>
      <w:rPr>
        <w:rFonts w:hint="eastAsia"/>
      </w:rPr>
    </w:lvl>
  </w:abstractNum>
  <w:abstractNum w:abstractNumId="4281244953">
    <w:nsid w:val="FF2E9D19"/>
    <w:multiLevelType w:val="singleLevel"/>
    <w:tmpl w:val="FF2E9D19"/>
    <w:lvl w:ilvl="0" w:tentative="1">
      <w:start w:val="3"/>
      <w:numFmt w:val="chineseCounting"/>
      <w:suff w:val="nothing"/>
      <w:lvlText w:val="（%1）"/>
      <w:lvlJc w:val="left"/>
      <w:rPr>
        <w:rFonts w:hint="eastAsia"/>
      </w:rPr>
    </w:lvl>
  </w:abstractNum>
  <w:abstractNum w:abstractNumId="1066183033">
    <w:nsid w:val="3F8CA979"/>
    <w:multiLevelType w:val="singleLevel"/>
    <w:tmpl w:val="3F8CA979"/>
    <w:lvl w:ilvl="0" w:tentative="1">
      <w:start w:val="2"/>
      <w:numFmt w:val="chineseCounting"/>
      <w:suff w:val="nothing"/>
      <w:lvlText w:val="（%1）"/>
      <w:lvlJc w:val="left"/>
      <w:rPr>
        <w:rFonts w:hint="eastAsia"/>
      </w:rPr>
    </w:lvl>
  </w:abstractNum>
  <w:num w:numId="1">
    <w:abstractNumId w:val="1066183033"/>
  </w:num>
  <w:num w:numId="2">
    <w:abstractNumId w:val="4281244953"/>
  </w:num>
  <w:num w:numId="3">
    <w:abstractNumId w:val="412850966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6416E5"/>
    <w:rsid w:val="0020414B"/>
    <w:rsid w:val="006416E5"/>
    <w:rsid w:val="00CB1D4C"/>
    <w:rsid w:val="00FA323F"/>
    <w:rsid w:val="0ACF3739"/>
    <w:rsid w:val="0C056945"/>
    <w:rsid w:val="0CEB4133"/>
    <w:rsid w:val="13F576E9"/>
    <w:rsid w:val="16332397"/>
    <w:rsid w:val="17827EF9"/>
    <w:rsid w:val="26D274F3"/>
    <w:rsid w:val="42286C53"/>
    <w:rsid w:val="52DD6087"/>
    <w:rsid w:val="55797948"/>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Droid Sans"/>
      <w:kern w:val="2"/>
      <w:sz w:val="21"/>
      <w:szCs w:val="24"/>
      <w:lang w:val="en-US" w:eastAsia="zh-CN" w:bidi="ar-SA"/>
    </w:rPr>
  </w:style>
  <w:style w:type="paragraph" w:styleId="2">
    <w:name w:val="heading 2"/>
    <w:basedOn w:val="1"/>
    <w:next w:val="1"/>
    <w:link w:val="7"/>
    <w:qFormat/>
    <w:uiPriority w:val="0"/>
    <w:pPr>
      <w:keepNext/>
      <w:keepLines/>
      <w:spacing w:before="100" w:beforeAutospacing="1" w:after="100" w:afterAutospacing="1"/>
      <w:outlineLvl w:val="1"/>
    </w:pPr>
    <w:rPr>
      <w:rFonts w:ascii="Cambria" w:hAnsi="Cambria" w:eastAsia="黑体" w:cs="Times New Roman"/>
      <w:b/>
      <w:bCs/>
      <w:kern w:val="0"/>
      <w:sz w:val="36"/>
      <w:szCs w:val="32"/>
    </w:rPr>
  </w:style>
  <w:style w:type="character" w:default="1" w:styleId="5">
    <w:name w:val="Default Paragraph Font"/>
    <w:unhideWhenUsed/>
    <w:qFormat/>
    <w:uiPriority w:val="1"/>
  </w:style>
  <w:style w:type="table" w:default="1" w:styleId="6">
    <w:name w:val="Normal Table"/>
    <w:unhideWhenUsed/>
    <w:qFormat/>
    <w:uiPriority w:val="99"/>
    <w:tblPr>
      <w:tblStyle w:val="6"/>
      <w:tblLayout w:type="fixed"/>
      <w:tblCellMar>
        <w:top w:w="0" w:type="dxa"/>
        <w:left w:w="108" w:type="dxa"/>
        <w:bottom w:w="0" w:type="dxa"/>
        <w:right w:w="108" w:type="dxa"/>
      </w:tblCellMar>
    </w:tblPr>
    <w:tcPr>
      <w:textDirection w:val="lrTb"/>
    </w:tcPr>
  </w:style>
  <w:style w:type="paragraph" w:styleId="3">
    <w:name w:val="Balloon Text"/>
    <w:basedOn w:val="1"/>
    <w:link w:val="9"/>
    <w:unhideWhenUsed/>
    <w:qFormat/>
    <w:uiPriority w:val="99"/>
    <w:rPr>
      <w:sz w:val="18"/>
      <w:szCs w:val="18"/>
    </w:rPr>
  </w:style>
  <w:style w:type="paragraph" w:styleId="4">
    <w:name w:val="footer"/>
    <w:basedOn w:val="1"/>
    <w:link w:val="8"/>
    <w:qFormat/>
    <w:uiPriority w:val="99"/>
    <w:pPr>
      <w:tabs>
        <w:tab w:val="center" w:pos="4153"/>
        <w:tab w:val="right" w:pos="8306"/>
      </w:tabs>
      <w:snapToGrid w:val="0"/>
      <w:jc w:val="left"/>
    </w:pPr>
    <w:rPr>
      <w:rFonts w:cs="Times New Roman"/>
      <w:sz w:val="18"/>
      <w:szCs w:val="20"/>
    </w:rPr>
  </w:style>
  <w:style w:type="character" w:customStyle="1" w:styleId="7">
    <w:name w:val="标题 2 Char"/>
    <w:basedOn w:val="5"/>
    <w:link w:val="2"/>
    <w:qFormat/>
    <w:uiPriority w:val="0"/>
    <w:rPr>
      <w:rFonts w:ascii="Cambria" w:hAnsi="Cambria" w:eastAsia="黑体" w:cs="Times New Roman"/>
      <w:b/>
      <w:bCs/>
      <w:kern w:val="0"/>
      <w:sz w:val="36"/>
      <w:szCs w:val="32"/>
    </w:rPr>
  </w:style>
  <w:style w:type="character" w:customStyle="1" w:styleId="8">
    <w:name w:val="页脚 Char"/>
    <w:basedOn w:val="5"/>
    <w:link w:val="4"/>
    <w:qFormat/>
    <w:uiPriority w:val="99"/>
    <w:rPr>
      <w:rFonts w:ascii="Times New Roman" w:hAnsi="Times New Roman" w:eastAsia="宋体" w:cs="Times New Roman"/>
      <w:sz w:val="18"/>
      <w:szCs w:val="20"/>
    </w:rPr>
  </w:style>
  <w:style w:type="character" w:customStyle="1" w:styleId="9">
    <w:name w:val="批注框文本 Char"/>
    <w:basedOn w:val="5"/>
    <w:link w:val="3"/>
    <w:semiHidden/>
    <w:qFormat/>
    <w:uiPriority w:val="99"/>
    <w:rPr>
      <w:rFonts w:ascii="Times New Roman" w:hAnsi="Times New Roman" w:eastAsia="宋体" w:cs="Droid Sans"/>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1932</Words>
  <Characters>2260</Characters>
  <Lines>18</Lines>
  <Paragraphs>5</Paragraphs>
  <ScaleCrop>false</ScaleCrop>
  <LinksUpToDate>false</LinksUpToDate>
  <CharactersWithSpaces>0</CharactersWithSpaces>
  <Application>WPS Office 专业版_9.1.0.4798_{F1E327BC-269C-435d-A152-05C5408002CA}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2025-02-08T07:14:00Z</dcterms:created>
  <dc:creator>Administrator</dc:creator>
  <cp:lastModifiedBy>朱会园</cp:lastModifiedBy>
  <dcterms:modified xsi:type="dcterms:W3CDTF">2025-03-05T07:56:51Z</dcterms:modified>
  <dc:title>北京市儿童福利院2025年度单位预算信息公开</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eyJoZGlkIjoiOTYwMDY3NDk0MDE5YmZkNTQwMzE2YTI2NjNkNzc4NTEiLCJ1c2VySWQiOiIxMzMwNzE4MTAyIn0=</vt:lpwstr>
  </property>
  <property fmtid="{D5CDD505-2E9C-101B-9397-08002B2CF9AE}" pid="3" name="KSOProductBuildVer">
    <vt:lpwstr>2052-9.1.0.4798</vt:lpwstr>
  </property>
  <property fmtid="{D5CDD505-2E9C-101B-9397-08002B2CF9AE}" pid="4" name="ICV">
    <vt:lpwstr>A7C152C67A6140518CE2C4469298ABE2_13</vt:lpwstr>
  </property>
</Properties>
</file>