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6A1" w:rsidRDefault="006B06A1">
      <w:pPr>
        <w:tabs>
          <w:tab w:val="left" w:pos="6630"/>
        </w:tabs>
        <w:spacing w:line="360" w:lineRule="auto"/>
        <w:rPr>
          <w:rFonts w:ascii="Cambria" w:eastAsia="黑体" w:hAnsi="Cambria" w:cs="Times New Roman"/>
          <w:b/>
          <w:bCs/>
          <w:kern w:val="0"/>
          <w:sz w:val="36"/>
          <w:szCs w:val="32"/>
        </w:rPr>
      </w:pPr>
    </w:p>
    <w:p w:rsidR="006B06A1" w:rsidRDefault="006763B7">
      <w:pPr>
        <w:spacing w:line="5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北京市</w:t>
      </w:r>
      <w:r>
        <w:rPr>
          <w:rFonts w:ascii="方正小标宋简体" w:eastAsia="方正小标宋简体"/>
          <w:color w:val="000000"/>
          <w:sz w:val="44"/>
          <w:szCs w:val="44"/>
        </w:rPr>
        <w:t>社会福利事务管理中心</w:t>
      </w:r>
      <w:r>
        <w:rPr>
          <w:rFonts w:ascii="方正小标宋简体" w:eastAsia="方正小标宋简体" w:hint="eastAsia"/>
          <w:color w:val="000000"/>
          <w:sz w:val="44"/>
          <w:szCs w:val="44"/>
        </w:rPr>
        <w:t>本级2025年度单位预算信息公开</w:t>
      </w:r>
    </w:p>
    <w:p w:rsidR="006B06A1" w:rsidRDefault="006B06A1">
      <w:pPr>
        <w:spacing w:line="240" w:lineRule="exact"/>
        <w:jc w:val="center"/>
        <w:rPr>
          <w:rFonts w:ascii="方正小标宋简体" w:eastAsia="方正小标宋简体"/>
          <w:color w:val="000000"/>
          <w:sz w:val="32"/>
          <w:szCs w:val="32"/>
        </w:rPr>
      </w:pPr>
    </w:p>
    <w:p w:rsidR="006B06A1" w:rsidRDefault="006763B7">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6B06A1" w:rsidRDefault="006B06A1">
      <w:pPr>
        <w:spacing w:line="240" w:lineRule="exact"/>
        <w:rPr>
          <w:rFonts w:ascii="方正小标宋简体" w:eastAsia="方正小标宋简体"/>
          <w:color w:val="000000"/>
          <w:sz w:val="32"/>
          <w:szCs w:val="32"/>
        </w:rPr>
      </w:pPr>
    </w:p>
    <w:p w:rsidR="006B06A1" w:rsidRDefault="006763B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第一部分2025年度单位预算情况说明</w:t>
      </w:r>
    </w:p>
    <w:p w:rsidR="006B06A1" w:rsidRDefault="006763B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6B06A1" w:rsidRDefault="006763B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6B06A1" w:rsidRDefault="006763B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6B06A1" w:rsidRDefault="006763B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6B06A1" w:rsidRDefault="006763B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6B06A1" w:rsidRDefault="006763B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6B06A1" w:rsidRDefault="006763B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第二部分2025年度单位预算报表</w:t>
      </w:r>
    </w:p>
    <w:p w:rsidR="006B06A1" w:rsidRDefault="006763B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6B06A1" w:rsidRDefault="006763B7" w:rsidP="00753D1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二、收入总表</w:t>
      </w:r>
    </w:p>
    <w:p w:rsidR="006B06A1" w:rsidRDefault="006763B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6B06A1" w:rsidRDefault="006763B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6B06A1" w:rsidRDefault="006763B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6B06A1" w:rsidRDefault="006763B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6B06A1" w:rsidRDefault="006763B7" w:rsidP="00753D1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七、一般公共预算财政拨款支出表</w:t>
      </w:r>
    </w:p>
    <w:p w:rsidR="006B06A1" w:rsidRDefault="006763B7" w:rsidP="009D1DCF">
      <w:pPr>
        <w:autoSpaceDE w:val="0"/>
        <w:autoSpaceDN w:val="0"/>
        <w:adjustRightInd w:val="0"/>
        <w:spacing w:line="560" w:lineRule="exact"/>
        <w:ind w:firstLineChars="200" w:firstLine="576"/>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spacing w:val="-16"/>
          <w:kern w:val="0"/>
          <w:sz w:val="32"/>
          <w:szCs w:val="32"/>
          <w:lang w:val="zh-CN"/>
        </w:rPr>
        <w:t>八、一般公共预算财政拨款基本支出表</w:t>
      </w:r>
    </w:p>
    <w:p w:rsidR="006B06A1" w:rsidRDefault="006763B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6B06A1" w:rsidRDefault="006763B7">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6B06A1" w:rsidRDefault="006763B7">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6B06A1" w:rsidRDefault="006763B7">
      <w:pPr>
        <w:autoSpaceDE w:val="0"/>
        <w:autoSpaceDN w:val="0"/>
        <w:adjustRightInd w:val="0"/>
        <w:spacing w:line="560" w:lineRule="exact"/>
        <w:ind w:firstLineChars="200" w:firstLine="568"/>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8"/>
          <w:kern w:val="0"/>
          <w:sz w:val="32"/>
          <w:szCs w:val="32"/>
          <w:lang w:val="zh-CN"/>
        </w:rPr>
        <w:lastRenderedPageBreak/>
        <w:t>十</w:t>
      </w:r>
      <w:r>
        <w:rPr>
          <w:rFonts w:ascii="仿宋_GB2312" w:eastAsia="仿宋_GB2312" w:hAnsi="仿宋_GB2312" w:cs="仿宋_GB2312" w:hint="eastAsia"/>
          <w:color w:val="000000"/>
          <w:kern w:val="0"/>
          <w:sz w:val="32"/>
          <w:szCs w:val="32"/>
          <w:lang w:val="zh-CN"/>
        </w:rPr>
        <w:t>二、政府购买服务预算财政拨款明细表</w:t>
      </w:r>
    </w:p>
    <w:p w:rsidR="006B06A1" w:rsidRDefault="006763B7">
      <w:pPr>
        <w:autoSpaceDE w:val="0"/>
        <w:autoSpaceDN w:val="0"/>
        <w:adjustRightInd w:val="0"/>
        <w:spacing w:line="560" w:lineRule="exact"/>
        <w:ind w:firstLineChars="200" w:firstLine="640"/>
        <w:jc w:val="left"/>
        <w:rPr>
          <w:rFonts w:ascii="仿宋_GB2312" w:eastAsia="仿宋_GB2312" w:hAnsi="仿宋_GB2312" w:cs="仿宋_GB2312"/>
          <w:color w:val="000000"/>
          <w:sz w:val="32"/>
          <w:lang w:val="zh-CN"/>
        </w:rPr>
      </w:pPr>
      <w:r>
        <w:rPr>
          <w:rFonts w:ascii="仿宋_GB2312" w:eastAsia="仿宋_GB2312" w:hAnsi="仿宋_GB2312" w:cs="仿宋_GB2312" w:hint="eastAsia"/>
          <w:color w:val="000000"/>
          <w:kern w:val="0"/>
          <w:sz w:val="32"/>
          <w:szCs w:val="32"/>
          <w:lang w:val="zh-CN"/>
        </w:rPr>
        <w:t>十三、项目支出绩效目标表</w:t>
      </w:r>
    </w:p>
    <w:p w:rsidR="006B06A1" w:rsidRDefault="006B06A1">
      <w:pPr>
        <w:spacing w:line="560" w:lineRule="exact"/>
        <w:jc w:val="center"/>
        <w:rPr>
          <w:rFonts w:ascii="仿宋_GB2312" w:eastAsia="仿宋_GB2312" w:hAnsi="仿宋_GB2312" w:cs="仿宋_GB2312"/>
          <w:color w:val="000000"/>
          <w:sz w:val="36"/>
          <w:szCs w:val="36"/>
        </w:rPr>
      </w:pPr>
    </w:p>
    <w:p w:rsidR="006B06A1" w:rsidRDefault="006B06A1">
      <w:pPr>
        <w:spacing w:line="560" w:lineRule="exact"/>
        <w:jc w:val="center"/>
        <w:rPr>
          <w:rFonts w:ascii="仿宋_GB2312" w:eastAsia="仿宋_GB2312" w:hAnsi="仿宋_GB2312" w:cs="仿宋_GB2312"/>
          <w:color w:val="000000"/>
          <w:sz w:val="36"/>
          <w:szCs w:val="36"/>
        </w:rPr>
      </w:pPr>
    </w:p>
    <w:p w:rsidR="006B06A1" w:rsidRDefault="006B06A1">
      <w:pPr>
        <w:spacing w:line="560" w:lineRule="exact"/>
        <w:jc w:val="center"/>
        <w:rPr>
          <w:rFonts w:ascii="仿宋_GB2312" w:eastAsia="仿宋_GB2312" w:hAnsi="仿宋_GB2312" w:cs="仿宋_GB2312"/>
          <w:color w:val="000000"/>
          <w:sz w:val="36"/>
          <w:szCs w:val="36"/>
        </w:rPr>
      </w:pPr>
    </w:p>
    <w:p w:rsidR="006B06A1" w:rsidRDefault="006B06A1">
      <w:pPr>
        <w:spacing w:line="560" w:lineRule="exact"/>
        <w:jc w:val="center"/>
        <w:rPr>
          <w:rFonts w:ascii="仿宋_GB2312" w:eastAsia="仿宋_GB2312" w:hAnsi="仿宋_GB2312" w:cs="仿宋_GB2312"/>
          <w:color w:val="000000"/>
          <w:sz w:val="36"/>
          <w:szCs w:val="36"/>
        </w:rPr>
      </w:pPr>
    </w:p>
    <w:p w:rsidR="006B06A1" w:rsidRDefault="006B06A1">
      <w:pPr>
        <w:spacing w:line="560" w:lineRule="exact"/>
        <w:jc w:val="center"/>
        <w:rPr>
          <w:rFonts w:ascii="仿宋_GB2312" w:eastAsia="仿宋_GB2312" w:hAnsi="仿宋_GB2312" w:cs="仿宋_GB2312"/>
          <w:color w:val="000000"/>
          <w:sz w:val="36"/>
          <w:szCs w:val="36"/>
        </w:rPr>
      </w:pPr>
    </w:p>
    <w:p w:rsidR="006B06A1" w:rsidRDefault="006B06A1">
      <w:pPr>
        <w:spacing w:line="560" w:lineRule="exact"/>
        <w:jc w:val="center"/>
        <w:rPr>
          <w:rFonts w:ascii="仿宋_GB2312" w:eastAsia="仿宋_GB2312" w:hAnsi="仿宋_GB2312" w:cs="仿宋_GB2312"/>
          <w:color w:val="000000"/>
          <w:sz w:val="36"/>
          <w:szCs w:val="36"/>
        </w:rPr>
      </w:pPr>
    </w:p>
    <w:p w:rsidR="006B06A1" w:rsidRDefault="006B06A1">
      <w:pPr>
        <w:spacing w:line="560" w:lineRule="exact"/>
        <w:jc w:val="center"/>
        <w:rPr>
          <w:rFonts w:ascii="仿宋_GB2312" w:eastAsia="仿宋_GB2312" w:hAnsi="仿宋_GB2312" w:cs="仿宋_GB2312"/>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Pr>
        <w:spacing w:line="560" w:lineRule="exact"/>
        <w:jc w:val="center"/>
        <w:rPr>
          <w:rFonts w:ascii="方正小标宋简体" w:eastAsia="方正小标宋简体"/>
          <w:color w:val="000000"/>
          <w:sz w:val="36"/>
          <w:szCs w:val="36"/>
        </w:rPr>
      </w:pPr>
    </w:p>
    <w:p w:rsidR="006B06A1" w:rsidRDefault="006B06A1"/>
    <w:p w:rsidR="006B06A1" w:rsidRDefault="006B06A1">
      <w:pPr>
        <w:pStyle w:val="2"/>
      </w:pPr>
    </w:p>
    <w:p w:rsidR="006B06A1" w:rsidRDefault="006B06A1"/>
    <w:p w:rsidR="006B06A1" w:rsidRDefault="006763B7">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2025年度单位预算情况说明</w:t>
      </w:r>
    </w:p>
    <w:p w:rsidR="006B06A1" w:rsidRDefault="006763B7">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6B06A1" w:rsidRDefault="006763B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6B06A1" w:rsidRDefault="006763B7">
      <w:pPr>
        <w:ind w:firstLineChars="200" w:firstLine="640"/>
      </w:pPr>
      <w:r>
        <w:rPr>
          <w:rFonts w:ascii="仿宋_GB2312" w:eastAsia="仿宋_GB2312" w:hint="eastAsia"/>
          <w:sz w:val="32"/>
          <w:szCs w:val="32"/>
        </w:rPr>
        <w:t>根据北京市机构编制委员会《关于成立北京市社会福利事务管理中心的通知》（京编委</w:t>
      </w:r>
      <w:r>
        <w:rPr>
          <w:rFonts w:ascii="黑体" w:eastAsia="黑体" w:hAnsi="黑体" w:cs="黑体" w:hint="eastAsia"/>
          <w:sz w:val="32"/>
          <w:szCs w:val="32"/>
        </w:rPr>
        <w:t>〔</w:t>
      </w:r>
      <w:r>
        <w:rPr>
          <w:rFonts w:ascii="仿宋_GB2312" w:eastAsia="仿宋_GB2312"/>
          <w:sz w:val="32"/>
          <w:szCs w:val="32"/>
        </w:rPr>
        <w:t>2006</w:t>
      </w:r>
      <w:r>
        <w:rPr>
          <w:rFonts w:ascii="黑体" w:eastAsia="黑体" w:hAnsi="黑体" w:cs="黑体" w:hint="eastAsia"/>
          <w:sz w:val="32"/>
          <w:szCs w:val="32"/>
        </w:rPr>
        <w:t>〕</w:t>
      </w:r>
      <w:r>
        <w:rPr>
          <w:rFonts w:ascii="仿宋_GB2312" w:eastAsia="仿宋_GB2312"/>
          <w:sz w:val="32"/>
          <w:szCs w:val="32"/>
        </w:rPr>
        <w:t>38</w:t>
      </w:r>
      <w:r>
        <w:rPr>
          <w:rFonts w:ascii="仿宋_GB2312" w:eastAsia="仿宋_GB2312" w:hint="eastAsia"/>
          <w:sz w:val="32"/>
          <w:szCs w:val="32"/>
        </w:rPr>
        <w:t>号），成立北京市社会福利事务管理中心,为市民政局管理的相当副局级事业单位，主要负责对从市民政局划入的社会福利企业、事业单位的人、财、物等内部事务的管理以及存量资源的整合和增量资源的调整等工作。根据《中共北京市委机构编制委员会关于市委社会工委、市民政局所属事业单位改革有关事项的批复》（京编委</w:t>
      </w:r>
      <w:r>
        <w:rPr>
          <w:rFonts w:ascii="黑体" w:eastAsia="黑体" w:hAnsi="黑体" w:cs="黑体" w:hint="eastAsia"/>
          <w:sz w:val="32"/>
          <w:szCs w:val="32"/>
        </w:rPr>
        <w:t>〔</w:t>
      </w:r>
      <w:r w:rsidR="006B06A1" w:rsidRPr="006B06A1">
        <w:rPr>
          <w:rFonts w:ascii="仿宋" w:eastAsia="仿宋" w:hAnsi="仿宋" w:cs="仿宋"/>
          <w:sz w:val="32"/>
          <w:szCs w:val="32"/>
        </w:rPr>
        <w:t>2021</w:t>
      </w:r>
      <w:r>
        <w:rPr>
          <w:rFonts w:ascii="黑体" w:eastAsia="黑体" w:hAnsi="黑体" w:cs="黑体" w:hint="eastAsia"/>
          <w:sz w:val="32"/>
          <w:szCs w:val="32"/>
        </w:rPr>
        <w:t>〕</w:t>
      </w:r>
      <w:r w:rsidR="006B06A1" w:rsidRPr="006B06A1">
        <w:rPr>
          <w:rFonts w:ascii="仿宋" w:eastAsia="仿宋" w:hAnsi="仿宋" w:cs="仿宋"/>
          <w:sz w:val="32"/>
          <w:szCs w:val="32"/>
        </w:rPr>
        <w:t>108</w:t>
      </w:r>
      <w:r w:rsidR="006B06A1" w:rsidRPr="006B06A1">
        <w:rPr>
          <w:rFonts w:ascii="仿宋" w:eastAsia="仿宋" w:hAnsi="仿宋" w:cs="仿宋" w:hint="eastAsia"/>
          <w:sz w:val="32"/>
          <w:szCs w:val="32"/>
        </w:rPr>
        <w:t>号</w:t>
      </w:r>
      <w:r>
        <w:rPr>
          <w:rFonts w:ascii="仿宋_GB2312" w:eastAsia="仿宋_GB2312" w:hint="eastAsia"/>
          <w:sz w:val="32"/>
          <w:szCs w:val="32"/>
        </w:rPr>
        <w:t>），为副局级公益一类事业单位。</w:t>
      </w:r>
      <w:bookmarkStart w:id="0" w:name="_GoBack"/>
      <w:bookmarkEnd w:id="0"/>
    </w:p>
    <w:p w:rsidR="006B06A1" w:rsidRDefault="006763B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6B06A1" w:rsidRDefault="006763B7">
      <w:pPr>
        <w:spacing w:line="560" w:lineRule="exact"/>
        <w:ind w:firstLineChars="200" w:firstLine="640"/>
        <w:rPr>
          <w:rFonts w:ascii="楷体_GB2312" w:eastAsia="楷体_GB2312"/>
          <w:color w:val="000000"/>
          <w:sz w:val="32"/>
          <w:szCs w:val="32"/>
        </w:rPr>
      </w:pPr>
      <w:r>
        <w:rPr>
          <w:rFonts w:ascii="仿宋_GB2312" w:eastAsia="仿宋_GB2312" w:hint="eastAsia"/>
          <w:sz w:val="32"/>
          <w:szCs w:val="32"/>
        </w:rPr>
        <w:t>根据《北京市机构编制委员会办公室关于同意调整市民政局所属部分事业单位机构编制事项的函》（京编办事</w:t>
      </w:r>
      <w:r>
        <w:rPr>
          <w:rFonts w:ascii="黑体" w:eastAsia="黑体" w:hAnsi="黑体" w:cs="黑体" w:hint="eastAsia"/>
          <w:sz w:val="32"/>
          <w:szCs w:val="32"/>
        </w:rPr>
        <w:t>〔</w:t>
      </w:r>
      <w:r>
        <w:rPr>
          <w:rFonts w:ascii="仿宋_GB2312" w:eastAsia="仿宋_GB2312"/>
          <w:sz w:val="32"/>
          <w:szCs w:val="32"/>
        </w:rPr>
        <w:t>2014</w:t>
      </w:r>
      <w:r>
        <w:rPr>
          <w:rFonts w:ascii="黑体" w:eastAsia="黑体" w:hAnsi="黑体" w:cs="黑体" w:hint="eastAsia"/>
          <w:sz w:val="32"/>
          <w:szCs w:val="32"/>
        </w:rPr>
        <w:t>〕</w:t>
      </w:r>
      <w:r>
        <w:rPr>
          <w:rFonts w:ascii="仿宋_GB2312" w:eastAsia="仿宋_GB2312"/>
          <w:sz w:val="32"/>
          <w:szCs w:val="32"/>
        </w:rPr>
        <w:t>123</w:t>
      </w:r>
      <w:r>
        <w:rPr>
          <w:rFonts w:ascii="仿宋_GB2312" w:eastAsia="仿宋_GB2312" w:hint="eastAsia"/>
          <w:sz w:val="32"/>
          <w:szCs w:val="32"/>
        </w:rPr>
        <w:t>号），重新核定内设13个内设机构和工会、离退休工作处，分别为办公室、规划发展处、福利事务一处、福利事务二处、企业改革处、信息与标准化处、资产管理处、计划财务处、审计处、行政保卫处、组织处、人事处、纪检工作处。</w:t>
      </w:r>
    </w:p>
    <w:p w:rsidR="006B06A1" w:rsidRDefault="006763B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rsidR="006B06A1" w:rsidRDefault="006763B7">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北京市社会福利事务管理中心本级单位行政编制0人</w:t>
      </w:r>
      <w:r>
        <w:rPr>
          <w:rFonts w:ascii="仿宋_GB2312" w:eastAsia="仿宋_GB2312" w:hint="eastAsia"/>
          <w:color w:val="000000"/>
          <w:sz w:val="32"/>
          <w:szCs w:val="32"/>
        </w:rPr>
        <w:t>，实有人数0人；事业编制126人，实有人数112人。</w:t>
      </w:r>
    </w:p>
    <w:p w:rsidR="006B06A1" w:rsidRDefault="006763B7">
      <w:pPr>
        <w:ind w:firstLineChars="200" w:firstLine="640"/>
        <w:rPr>
          <w:rFonts w:ascii="仿宋_GB2312" w:eastAsia="仿宋_GB2312"/>
          <w:sz w:val="32"/>
          <w:szCs w:val="32"/>
        </w:rPr>
      </w:pPr>
      <w:r>
        <w:rPr>
          <w:rFonts w:ascii="仿宋_GB2312" w:eastAsia="仿宋_GB2312" w:hint="eastAsia"/>
          <w:sz w:val="32"/>
          <w:szCs w:val="32"/>
        </w:rPr>
        <w:lastRenderedPageBreak/>
        <w:t>离退休人员60人，其中：离休1人，退休59人。</w:t>
      </w:r>
    </w:p>
    <w:p w:rsidR="006B06A1" w:rsidRDefault="006763B7">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6B06A1" w:rsidRDefault="006763B7">
      <w:pPr>
        <w:ind w:firstLineChars="200" w:firstLine="640"/>
        <w:rPr>
          <w:rFonts w:ascii="仿宋_GB2312" w:eastAsia="仿宋_GB2312"/>
          <w:kern w:val="0"/>
          <w:sz w:val="32"/>
          <w:szCs w:val="32"/>
        </w:rPr>
      </w:pPr>
      <w:r>
        <w:rPr>
          <w:rFonts w:ascii="仿宋_GB2312" w:eastAsia="仿宋_GB2312" w:hint="eastAsia"/>
          <w:sz w:val="32"/>
          <w:szCs w:val="32"/>
        </w:rPr>
        <w:t>2025年度收入预算16246.13万元，比2024年年初预算数21994.31万元减少5748.18万元，下降26.13</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kern w:val="0"/>
          <w:sz w:val="32"/>
          <w:szCs w:val="32"/>
        </w:rPr>
        <w:t>减少</w:t>
      </w:r>
      <w:r w:rsidR="001520F7">
        <w:rPr>
          <w:rFonts w:ascii="仿宋_GB2312" w:eastAsia="仿宋_GB2312" w:hint="eastAsia"/>
          <w:kern w:val="0"/>
          <w:sz w:val="32"/>
          <w:szCs w:val="32"/>
        </w:rPr>
        <w:t>一次性</w:t>
      </w:r>
      <w:r>
        <w:rPr>
          <w:rFonts w:ascii="仿宋_GB2312" w:eastAsia="仿宋_GB2312"/>
          <w:kern w:val="0"/>
          <w:sz w:val="32"/>
          <w:szCs w:val="32"/>
        </w:rPr>
        <w:t>项目。</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w:t>
      </w:r>
      <w:r>
        <w:rPr>
          <w:rFonts w:ascii="仿宋_GB2312" w:eastAsia="仿宋_GB2312" w:hint="eastAsia"/>
          <w:sz w:val="32"/>
          <w:szCs w:val="32"/>
        </w:rPr>
        <w:t>10466.13</w:t>
      </w:r>
      <w:r>
        <w:rPr>
          <w:rFonts w:ascii="楷体_GB2312" w:eastAsia="楷体_GB2312" w:hint="eastAsia"/>
          <w:sz w:val="32"/>
          <w:szCs w:val="32"/>
        </w:rPr>
        <w:t>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一般公共预算拨款收入9461.93万元。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政府性基金预算拨款收入1004.2万元。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hint="eastAsia"/>
          <w:sz w:val="32"/>
          <w:szCs w:val="32"/>
        </w:rPr>
        <w:t>3.国有资本经营预算拨款收入0万元。</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（二）本年其他资金收入2010万元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财政专户管理资金收入0万元。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事业收入0万元。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上级补助收入0万元。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附属单位上缴收入2000万元。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事业单位经营收入0万元。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9.</w:t>
      </w:r>
      <w:r>
        <w:rPr>
          <w:rFonts w:ascii="仿宋_GB2312" w:eastAsia="仿宋_GB2312" w:hint="eastAsia"/>
          <w:sz w:val="32"/>
          <w:szCs w:val="32"/>
        </w:rPr>
        <w:t>其他收入10万元。</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（三）上年结转结余3770万元</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10.</w:t>
      </w:r>
      <w:r>
        <w:rPr>
          <w:rFonts w:ascii="仿宋_GB2312" w:eastAsia="仿宋_GB2312" w:hint="eastAsia"/>
          <w:sz w:val="32"/>
          <w:szCs w:val="32"/>
        </w:rPr>
        <w:t>上年结转结余3770万元。</w:t>
      </w:r>
    </w:p>
    <w:p w:rsidR="006B06A1" w:rsidRDefault="006B06A1">
      <w:pPr>
        <w:pStyle w:val="2"/>
        <w:rPr>
          <w:rFonts w:ascii="仿宋_GB2312" w:eastAsia="仿宋_GB2312"/>
          <w:sz w:val="32"/>
        </w:rPr>
      </w:pPr>
    </w:p>
    <w:p w:rsidR="006B06A1" w:rsidRDefault="009D1DCF">
      <w:pPr>
        <w:pStyle w:val="2"/>
        <w:jc w:val="center"/>
        <w:rPr>
          <w:rFonts w:ascii="仿宋_GB2312" w:eastAsia="仿宋_GB2312"/>
          <w:sz w:val="32"/>
        </w:rPr>
      </w:pPr>
      <w:r w:rsidRPr="00F85114">
        <w:rPr>
          <w:rFonts w:ascii="仿宋_GB2312" w:eastAsia="仿宋_GB2312"/>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2" o:spid="_x0000_i1025" type="#_x0000_t75" style="width:282.75pt;height:192.75pt">
            <v:imagedata r:id="rId8" o:title=""/>
          </v:shape>
        </w:pict>
      </w:r>
    </w:p>
    <w:p w:rsidR="006B06A1" w:rsidRDefault="006763B7">
      <w:pPr>
        <w:pStyle w:val="2"/>
        <w:rPr>
          <w:rFonts w:ascii="仿宋_GB2312" w:eastAsia="仿宋_GB2312"/>
          <w:b w:val="0"/>
          <w:bCs w:val="0"/>
          <w:sz w:val="32"/>
        </w:rPr>
      </w:pPr>
      <w:r>
        <w:rPr>
          <w:rFonts w:ascii="仿宋_GB2312" w:eastAsia="仿宋_GB2312" w:hint="eastAsia"/>
          <w:sz w:val="32"/>
        </w:rPr>
        <w:t xml:space="preserve">                   图1：收入预算</w:t>
      </w:r>
    </w:p>
    <w:p w:rsidR="006B06A1" w:rsidRDefault="006763B7">
      <w:pPr>
        <w:spacing w:line="560" w:lineRule="exact"/>
        <w:ind w:firstLineChars="200" w:firstLine="640"/>
        <w:rPr>
          <w:rFonts w:ascii="仿宋_GB2312" w:eastAsia="仿宋_GB2312"/>
          <w:sz w:val="32"/>
          <w:szCs w:val="32"/>
        </w:rPr>
      </w:pPr>
      <w:r>
        <w:rPr>
          <w:rFonts w:ascii="黑体" w:eastAsia="黑体" w:hint="eastAsia"/>
          <w:sz w:val="32"/>
          <w:szCs w:val="32"/>
        </w:rPr>
        <w:t>三、支出预算情况说明</w:t>
      </w:r>
    </w:p>
    <w:p w:rsidR="006B06A1" w:rsidRDefault="006763B7">
      <w:pPr>
        <w:spacing w:line="560" w:lineRule="exact"/>
        <w:ind w:firstLineChars="200" w:firstLine="640"/>
        <w:rPr>
          <w:rFonts w:ascii="仿宋_GB2312" w:eastAsia="仿宋_GB2312"/>
          <w:sz w:val="32"/>
          <w:szCs w:val="32"/>
        </w:rPr>
      </w:pPr>
      <w:r>
        <w:rPr>
          <w:rFonts w:ascii="仿宋_GB2312" w:eastAsia="仿宋_GB2312" w:hint="eastAsia"/>
          <w:sz w:val="32"/>
          <w:szCs w:val="32"/>
        </w:rPr>
        <w:t>2025年支出预算16246.13万元，比2024年年初预算数21994.31万元减少5748.18万元，下降26.13</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kern w:val="0"/>
          <w:sz w:val="32"/>
          <w:szCs w:val="32"/>
        </w:rPr>
        <w:t>减少</w:t>
      </w:r>
      <w:r w:rsidR="00173C71">
        <w:rPr>
          <w:rFonts w:ascii="仿宋_GB2312" w:eastAsia="仿宋_GB2312" w:hint="eastAsia"/>
          <w:kern w:val="0"/>
          <w:sz w:val="32"/>
          <w:szCs w:val="32"/>
        </w:rPr>
        <w:t>一次性</w:t>
      </w:r>
      <w:r>
        <w:rPr>
          <w:rFonts w:ascii="仿宋_GB2312" w:eastAsia="仿宋_GB2312"/>
          <w:kern w:val="0"/>
          <w:sz w:val="32"/>
          <w:szCs w:val="32"/>
        </w:rPr>
        <w:t>项目</w:t>
      </w:r>
      <w:r>
        <w:rPr>
          <w:rFonts w:ascii="仿宋_GB2312" w:eastAsia="仿宋_GB2312" w:hint="eastAsia"/>
          <w:sz w:val="32"/>
          <w:szCs w:val="32"/>
        </w:rPr>
        <w:t>。</w:t>
      </w:r>
    </w:p>
    <w:p w:rsidR="006B06A1" w:rsidRDefault="006763B7">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（一）基本支出。</w:t>
      </w:r>
      <w:r>
        <w:rPr>
          <w:rFonts w:ascii="仿宋_GB2312" w:eastAsia="仿宋_GB2312" w:hint="eastAsia"/>
          <w:sz w:val="32"/>
          <w:szCs w:val="32"/>
        </w:rPr>
        <w:t>基本支出预算5817.16万元，占总支出预算35.81%，比2024年年初预算数5696.57万元增加120.59万元，增长2.12</w:t>
      </w:r>
      <w:r>
        <w:rPr>
          <w:rFonts w:ascii="仿宋_GB2312" w:eastAsia="仿宋_GB2312"/>
          <w:sz w:val="32"/>
          <w:szCs w:val="32"/>
        </w:rPr>
        <w:t>%</w:t>
      </w:r>
      <w:r>
        <w:rPr>
          <w:rFonts w:ascii="仿宋_GB2312" w:eastAsia="仿宋_GB2312" w:hint="eastAsia"/>
          <w:sz w:val="32"/>
          <w:szCs w:val="32"/>
        </w:rPr>
        <w:t>。</w:t>
      </w:r>
    </w:p>
    <w:p w:rsidR="006B06A1" w:rsidRDefault="006763B7">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项目支出预算8716.79万元，比2024年年初预算数14571.24万元减少5854.45万元，下降40.18</w:t>
      </w:r>
      <w:r>
        <w:rPr>
          <w:rFonts w:ascii="仿宋_GB2312" w:eastAsia="仿宋_GB2312"/>
          <w:sz w:val="32"/>
          <w:szCs w:val="32"/>
        </w:rPr>
        <w:t>%</w:t>
      </w:r>
      <w:r>
        <w:rPr>
          <w:rFonts w:ascii="仿宋_GB2312" w:eastAsia="仿宋_GB2312" w:hint="eastAsia"/>
          <w:sz w:val="32"/>
          <w:szCs w:val="32"/>
        </w:rPr>
        <w:t>。其中：</w:t>
      </w:r>
    </w:p>
    <w:p w:rsidR="006B06A1" w:rsidRDefault="006763B7">
      <w:pPr>
        <w:spacing w:line="560" w:lineRule="exact"/>
        <w:ind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事业单位经营支出0万元。</w:t>
      </w:r>
    </w:p>
    <w:p w:rsidR="006B06A1" w:rsidRDefault="006763B7">
      <w:pPr>
        <w:spacing w:line="560" w:lineRule="exact"/>
        <w:ind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上缴上级支出0万元。</w:t>
      </w:r>
    </w:p>
    <w:p w:rsidR="006B06A1" w:rsidRDefault="006763B7">
      <w:pPr>
        <w:spacing w:line="560" w:lineRule="exact"/>
        <w:ind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对附属单位补助支出2000万元。</w:t>
      </w:r>
    </w:p>
    <w:p w:rsidR="006B06A1" w:rsidRDefault="009D1DCF">
      <w:pPr>
        <w:pStyle w:val="2"/>
        <w:ind w:firstLine="642"/>
        <w:jc w:val="center"/>
        <w:rPr>
          <w:rFonts w:ascii="仿宋_GB2312" w:eastAsia="仿宋_GB2312"/>
          <w:sz w:val="32"/>
        </w:rPr>
      </w:pPr>
      <w:r w:rsidRPr="00F85114">
        <w:rPr>
          <w:rFonts w:ascii="仿宋_GB2312" w:eastAsia="仿宋_GB2312"/>
          <w:sz w:val="32"/>
        </w:rPr>
        <w:lastRenderedPageBreak/>
        <w:pict>
          <v:shape id="图表 3" o:spid="_x0000_i1026" type="#_x0000_t75" style="width:249pt;height:188.25pt">
            <v:imagedata r:id="rId9" o:title=""/>
          </v:shape>
        </w:pict>
      </w:r>
    </w:p>
    <w:p w:rsidR="006B06A1" w:rsidRDefault="006763B7">
      <w:pPr>
        <w:pStyle w:val="2"/>
        <w:ind w:firstLineChars="700" w:firstLine="2249"/>
        <w:rPr>
          <w:sz w:val="32"/>
        </w:rPr>
      </w:pPr>
      <w:r>
        <w:rPr>
          <w:rFonts w:ascii="仿宋_GB2312" w:eastAsia="仿宋_GB2312" w:hint="eastAsia"/>
          <w:sz w:val="32"/>
        </w:rPr>
        <w:t>图</w:t>
      </w:r>
      <w:r>
        <w:rPr>
          <w:rFonts w:ascii="仿宋_GB2312" w:eastAsia="仿宋_GB2312"/>
          <w:sz w:val="32"/>
        </w:rPr>
        <w:t>2</w:t>
      </w:r>
      <w:r>
        <w:rPr>
          <w:rFonts w:ascii="仿宋_GB2312" w:eastAsia="仿宋_GB2312" w:hint="eastAsia"/>
          <w:sz w:val="32"/>
        </w:rPr>
        <w:t>：基本支出和项目支出情况</w:t>
      </w:r>
    </w:p>
    <w:p w:rsidR="006B06A1" w:rsidRDefault="006763B7">
      <w:pPr>
        <w:numPr>
          <w:ilvl w:val="0"/>
          <w:numId w:val="1"/>
        </w:num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年终结转结余资金</w:t>
      </w:r>
      <w:r w:rsidR="00FA130A">
        <w:rPr>
          <w:rFonts w:ascii="楷体_GB2312" w:eastAsia="楷体_GB2312" w:hAnsi="楷体_GB2312" w:cs="楷体_GB2312" w:hint="eastAsia"/>
          <w:color w:val="000000"/>
          <w:sz w:val="32"/>
          <w:szCs w:val="32"/>
        </w:rPr>
        <w:t>1712.18</w:t>
      </w:r>
      <w:r>
        <w:rPr>
          <w:rFonts w:ascii="楷体_GB2312" w:eastAsia="楷体_GB2312" w:hAnsi="楷体_GB2312" w:cs="楷体_GB2312"/>
          <w:color w:val="000000"/>
          <w:sz w:val="32"/>
          <w:szCs w:val="32"/>
        </w:rPr>
        <w:t>万元</w:t>
      </w:r>
      <w:r>
        <w:rPr>
          <w:rFonts w:ascii="楷体_GB2312" w:eastAsia="楷体_GB2312" w:hAnsi="楷体_GB2312" w:cs="楷体_GB2312" w:hint="eastAsia"/>
          <w:color w:val="000000"/>
          <w:sz w:val="32"/>
          <w:szCs w:val="32"/>
        </w:rPr>
        <w:t>。</w:t>
      </w:r>
    </w:p>
    <w:p w:rsidR="006B06A1" w:rsidRDefault="006763B7">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rsidR="006B06A1" w:rsidRDefault="006763B7">
      <w:pPr>
        <w:spacing w:line="560" w:lineRule="exact"/>
        <w:ind w:firstLineChars="200" w:firstLine="640"/>
        <w:rPr>
          <w:rFonts w:ascii="楷体_GB2312" w:eastAsia="楷体_GB2312"/>
          <w:sz w:val="32"/>
          <w:szCs w:val="32"/>
        </w:rPr>
      </w:pPr>
      <w:r>
        <w:rPr>
          <w:rFonts w:ascii="仿宋_GB2312" w:eastAsia="仿宋_GB2312" w:hint="eastAsia"/>
          <w:sz w:val="32"/>
          <w:szCs w:val="32"/>
        </w:rPr>
        <w:t>北京市社会</w:t>
      </w:r>
      <w:r>
        <w:rPr>
          <w:rFonts w:ascii="仿宋_GB2312" w:eastAsia="仿宋_GB2312"/>
          <w:sz w:val="32"/>
          <w:szCs w:val="32"/>
        </w:rPr>
        <w:t>福利事务管理中心</w:t>
      </w:r>
      <w:r>
        <w:rPr>
          <w:rFonts w:ascii="仿宋_GB2312" w:eastAsia="仿宋_GB2312" w:hint="eastAsia"/>
          <w:sz w:val="32"/>
          <w:szCs w:val="32"/>
        </w:rPr>
        <w:t>本级因公出国（境）费用、公务接待费、公务用车购置和运行维护费开支单位包括1个所属单位。</w:t>
      </w:r>
    </w:p>
    <w:p w:rsidR="006B06A1" w:rsidRDefault="006763B7">
      <w:pPr>
        <w:spacing w:line="560" w:lineRule="exact"/>
        <w:ind w:firstLineChars="200" w:firstLine="640"/>
        <w:rPr>
          <w:rFonts w:ascii="仿宋_GB2312" w:eastAsia="仿宋_GB2312"/>
          <w:sz w:val="32"/>
          <w:szCs w:val="32"/>
        </w:rPr>
      </w:pPr>
      <w:r>
        <w:rPr>
          <w:rFonts w:ascii="楷体_GB2312" w:eastAsia="楷体_GB2312" w:hint="eastAsia"/>
          <w:sz w:val="32"/>
          <w:szCs w:val="32"/>
        </w:rPr>
        <w:t>（二）财政拨款“三公”经费预算情况说明</w:t>
      </w:r>
    </w:p>
    <w:p w:rsidR="006B06A1" w:rsidRDefault="006763B7">
      <w:pPr>
        <w:spacing w:line="560" w:lineRule="exact"/>
        <w:ind w:firstLineChars="200" w:firstLine="640"/>
        <w:rPr>
          <w:rFonts w:ascii="仿宋_GB2312" w:eastAsia="仿宋_GB2312"/>
          <w:sz w:val="32"/>
          <w:szCs w:val="32"/>
        </w:rPr>
      </w:pPr>
      <w:r>
        <w:rPr>
          <w:rFonts w:ascii="仿宋_GB2312" w:eastAsia="仿宋_GB2312" w:hint="eastAsia"/>
          <w:sz w:val="32"/>
          <w:szCs w:val="32"/>
        </w:rPr>
        <w:t>2025年财政拨款“三公”经费预算51.06万元，比2024年财政拨款“三公”经费预算减少25.45万元。其中：</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因公出国（境）费用。2025年预算数46.91万元，与2024年预算数46.91万元持平。</w:t>
      </w:r>
    </w:p>
    <w:p w:rsidR="006B06A1" w:rsidRDefault="006763B7">
      <w:pPr>
        <w:ind w:firstLine="555"/>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公务接待费。2025年预算数0万元，与2024年预算数0万元持平。</w:t>
      </w:r>
    </w:p>
    <w:p w:rsidR="006B06A1" w:rsidRDefault="006763B7">
      <w:pPr>
        <w:spacing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公务用车购置和运行维护费。2025年预算数4.15万元，包括：公务用车购置费2025年预算数0万元，比2024</w:t>
      </w:r>
      <w:r>
        <w:rPr>
          <w:rFonts w:ascii="仿宋_GB2312" w:eastAsia="仿宋_GB2312" w:hint="eastAsia"/>
          <w:sz w:val="32"/>
          <w:szCs w:val="32"/>
        </w:rPr>
        <w:lastRenderedPageBreak/>
        <w:t>年年初预算数25.45万元减少25.45万元，主要原因：本年度无公务用车购置需求；公务用车运行维护费2025年预算数4.15万元，其中：公务用车燃油0万元，公务用车维修1.56万元，公务用车保险1.52万元，其他支出1.07万元。公务用车运行维护费2025年预算数与2024年年初预算数4.15万元持平。</w:t>
      </w:r>
    </w:p>
    <w:p w:rsidR="006B06A1" w:rsidRDefault="006763B7">
      <w:pPr>
        <w:spacing w:line="560" w:lineRule="exact"/>
        <w:ind w:firstLineChars="200" w:firstLine="640"/>
        <w:rPr>
          <w:rFonts w:ascii="黑体" w:eastAsia="黑体"/>
          <w:sz w:val="32"/>
          <w:szCs w:val="32"/>
        </w:rPr>
      </w:pPr>
      <w:r>
        <w:rPr>
          <w:rFonts w:ascii="黑体" w:eastAsia="黑体" w:hint="eastAsia"/>
          <w:sz w:val="32"/>
          <w:szCs w:val="32"/>
        </w:rPr>
        <w:t>五、其他情况说明</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6B06A1" w:rsidRDefault="006763B7">
      <w:pPr>
        <w:spacing w:line="560" w:lineRule="exact"/>
        <w:ind w:firstLineChars="200" w:firstLine="640"/>
        <w:rPr>
          <w:rFonts w:ascii="仿宋_GB2312" w:eastAsia="仿宋_GB2312"/>
          <w:sz w:val="32"/>
          <w:szCs w:val="32"/>
        </w:rPr>
      </w:pPr>
      <w:r>
        <w:rPr>
          <w:rFonts w:ascii="仿宋_GB2312" w:eastAsia="仿宋_GB2312" w:hint="eastAsia"/>
          <w:sz w:val="32"/>
          <w:szCs w:val="32"/>
        </w:rPr>
        <w:t>2025年北京市社会</w:t>
      </w:r>
      <w:r>
        <w:rPr>
          <w:rFonts w:ascii="仿宋_GB2312" w:eastAsia="仿宋_GB2312"/>
          <w:sz w:val="32"/>
          <w:szCs w:val="32"/>
        </w:rPr>
        <w:t>福利事务管理中心</w:t>
      </w:r>
      <w:r>
        <w:rPr>
          <w:rFonts w:ascii="仿宋_GB2312" w:eastAsia="仿宋_GB2312" w:hint="eastAsia"/>
          <w:sz w:val="32"/>
          <w:szCs w:val="32"/>
        </w:rPr>
        <w:t>本级政府采购预算总额342.71万元，其中：政府采购货物预算63.34万元，政府采购工程预算0万元，政府采购服务预算279.37万元。</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6B06A1" w:rsidRDefault="006763B7">
      <w:pPr>
        <w:ind w:firstLine="600"/>
        <w:rPr>
          <w:rFonts w:ascii="仿宋_GB2312" w:eastAsia="仿宋_GB2312"/>
          <w:sz w:val="32"/>
          <w:szCs w:val="32"/>
        </w:rPr>
      </w:pPr>
      <w:r>
        <w:rPr>
          <w:rFonts w:ascii="仿宋_GB2312" w:eastAsia="仿宋_GB2312" w:hint="eastAsia"/>
          <w:color w:val="000000"/>
          <w:kern w:val="0"/>
          <w:sz w:val="32"/>
          <w:szCs w:val="32"/>
        </w:rPr>
        <w:t>我单位不在政府购买服务统计范围之内。</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6B06A1" w:rsidRDefault="006763B7">
      <w:pPr>
        <w:ind w:firstLine="600"/>
        <w:rPr>
          <w:rFonts w:ascii="仿宋_GB2312" w:eastAsia="仿宋_GB2312"/>
          <w:color w:val="000000"/>
          <w:sz w:val="32"/>
          <w:szCs w:val="32"/>
        </w:rPr>
      </w:pPr>
      <w:r>
        <w:rPr>
          <w:rFonts w:ascii="仿宋_GB2312" w:eastAsia="仿宋_GB2312" w:hint="eastAsia"/>
          <w:color w:val="000000"/>
          <w:sz w:val="32"/>
          <w:szCs w:val="32"/>
        </w:rPr>
        <w:t>我单位不在机关运行经费统计范围之内。</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6B06A1" w:rsidRDefault="006763B7">
      <w:pPr>
        <w:spacing w:line="560" w:lineRule="exact"/>
        <w:ind w:firstLineChars="200" w:firstLine="640"/>
        <w:rPr>
          <w:rFonts w:ascii="仿宋_GB2312" w:eastAsia="仿宋_GB2312"/>
          <w:sz w:val="32"/>
          <w:szCs w:val="32"/>
        </w:rPr>
      </w:pPr>
      <w:r>
        <w:rPr>
          <w:rFonts w:ascii="仿宋_GB2312" w:eastAsia="仿宋_GB2312" w:hint="eastAsia"/>
          <w:sz w:val="32"/>
          <w:szCs w:val="32"/>
        </w:rPr>
        <w:t>2025年，北京市社会</w:t>
      </w:r>
      <w:r>
        <w:rPr>
          <w:rFonts w:ascii="仿宋_GB2312" w:eastAsia="仿宋_GB2312"/>
          <w:sz w:val="32"/>
          <w:szCs w:val="32"/>
        </w:rPr>
        <w:t>福利事务管理中心</w:t>
      </w:r>
      <w:r>
        <w:rPr>
          <w:rFonts w:ascii="仿宋_GB2312" w:eastAsia="仿宋_GB2312" w:hint="eastAsia"/>
          <w:sz w:val="32"/>
          <w:szCs w:val="32"/>
        </w:rPr>
        <w:t>本级填报绩效目标的预算项目27个，占本单位本年预算项目27个的100</w:t>
      </w:r>
      <w:r>
        <w:rPr>
          <w:rFonts w:ascii="仿宋_GB2312" w:eastAsia="仿宋_GB2312"/>
          <w:sz w:val="32"/>
          <w:szCs w:val="32"/>
        </w:rPr>
        <w:t>%</w:t>
      </w:r>
      <w:r>
        <w:rPr>
          <w:rFonts w:ascii="仿宋_GB2312" w:eastAsia="仿宋_GB2312" w:hint="eastAsia"/>
          <w:sz w:val="32"/>
          <w:szCs w:val="32"/>
        </w:rPr>
        <w:t>。填报绩效目标的项目支出预算8716.79万元，占本单位本年项目支出预算的100</w:t>
      </w:r>
      <w:r>
        <w:rPr>
          <w:rFonts w:ascii="仿宋_GB2312" w:eastAsia="仿宋_GB2312"/>
          <w:sz w:val="32"/>
          <w:szCs w:val="32"/>
        </w:rPr>
        <w:t>%</w:t>
      </w:r>
      <w:r>
        <w:rPr>
          <w:rFonts w:ascii="仿宋_GB2312" w:eastAsia="仿宋_GB2312" w:hint="eastAsia"/>
          <w:sz w:val="32"/>
          <w:szCs w:val="32"/>
        </w:rPr>
        <w:t>。</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6B06A1" w:rsidRDefault="006763B7">
      <w:pPr>
        <w:spacing w:line="560" w:lineRule="exact"/>
        <w:ind w:firstLineChars="200" w:firstLine="640"/>
        <w:rPr>
          <w:rFonts w:ascii="楷体_GB2312" w:eastAsia="楷体_GB2312"/>
          <w:sz w:val="32"/>
          <w:szCs w:val="32"/>
        </w:rPr>
      </w:pPr>
      <w:r>
        <w:rPr>
          <w:rFonts w:ascii="仿宋_GB2312" w:eastAsia="仿宋_GB2312" w:hint="eastAsia"/>
          <w:sz w:val="32"/>
          <w:szCs w:val="32"/>
        </w:rPr>
        <w:t>本单位2025年无重点行政事业性收费。</w:t>
      </w:r>
    </w:p>
    <w:p w:rsidR="006B06A1" w:rsidRDefault="006763B7">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6B06A1" w:rsidRDefault="006763B7">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本单位2025</w:t>
      </w:r>
      <w:r>
        <w:rPr>
          <w:rFonts w:ascii="仿宋_GB2312" w:eastAsia="仿宋_GB2312" w:hint="eastAsia"/>
          <w:color w:val="000000"/>
          <w:sz w:val="32"/>
          <w:szCs w:val="32"/>
        </w:rPr>
        <w:t>年无国有资本经营预算财政拨款安排的预</w:t>
      </w:r>
      <w:r>
        <w:rPr>
          <w:rFonts w:ascii="仿宋_GB2312" w:eastAsia="仿宋_GB2312" w:hint="eastAsia"/>
          <w:color w:val="000000"/>
          <w:sz w:val="32"/>
          <w:szCs w:val="32"/>
        </w:rPr>
        <w:lastRenderedPageBreak/>
        <w:t>算。</w:t>
      </w:r>
    </w:p>
    <w:p w:rsidR="006B06A1" w:rsidRDefault="006763B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6B06A1" w:rsidRDefault="006763B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color w:val="000000"/>
          <w:sz w:val="32"/>
          <w:szCs w:val="32"/>
        </w:rPr>
        <w:t>2024</w:t>
      </w:r>
      <w:r>
        <w:rPr>
          <w:rFonts w:ascii="仿宋_GB2312" w:eastAsia="仿宋_GB2312" w:hint="eastAsia"/>
          <w:color w:val="000000"/>
          <w:sz w:val="32"/>
          <w:szCs w:val="32"/>
        </w:rPr>
        <w:t>年底，</w:t>
      </w:r>
      <w:r>
        <w:rPr>
          <w:rFonts w:ascii="仿宋_GB2312" w:eastAsia="仿宋_GB2312" w:hint="eastAsia"/>
          <w:sz w:val="32"/>
          <w:szCs w:val="32"/>
        </w:rPr>
        <w:t>北京市社会福利事务管理中心本级</w:t>
      </w:r>
      <w:r>
        <w:rPr>
          <w:rFonts w:ascii="仿宋_GB2312" w:eastAsia="仿宋_GB2312" w:hint="eastAsia"/>
          <w:color w:val="000000"/>
          <w:sz w:val="32"/>
          <w:szCs w:val="32"/>
        </w:rPr>
        <w:t>共有车辆</w:t>
      </w:r>
      <w:r>
        <w:rPr>
          <w:rFonts w:ascii="仿宋_GB2312" w:eastAsia="仿宋_GB2312"/>
          <w:color w:val="000000"/>
          <w:sz w:val="32"/>
          <w:szCs w:val="32"/>
        </w:rPr>
        <w:t>4</w:t>
      </w:r>
      <w:r>
        <w:rPr>
          <w:rFonts w:ascii="仿宋_GB2312" w:eastAsia="仿宋_GB2312" w:hint="eastAsia"/>
          <w:color w:val="000000"/>
          <w:sz w:val="32"/>
          <w:szCs w:val="32"/>
        </w:rPr>
        <w:t>台，共计</w:t>
      </w:r>
      <w:r>
        <w:rPr>
          <w:rFonts w:ascii="仿宋_GB2312" w:eastAsia="仿宋_GB2312"/>
          <w:color w:val="000000"/>
          <w:sz w:val="32"/>
          <w:szCs w:val="32"/>
        </w:rPr>
        <w:t>77.43</w:t>
      </w:r>
      <w:r>
        <w:rPr>
          <w:rFonts w:ascii="仿宋_GB2312" w:eastAsia="仿宋_GB2312" w:hint="eastAsia"/>
          <w:color w:val="000000"/>
          <w:sz w:val="32"/>
          <w:szCs w:val="32"/>
        </w:rPr>
        <w:t>万元；单位价值50万元以上的设备14台（套）、共计4753.18万元。</w:t>
      </w:r>
      <w:r>
        <w:rPr>
          <w:rFonts w:ascii="仿宋_GB2312" w:eastAsia="仿宋_GB2312"/>
          <w:color w:val="000000"/>
          <w:sz w:val="32"/>
          <w:szCs w:val="32"/>
        </w:rPr>
        <w:t>2025</w:t>
      </w:r>
      <w:r>
        <w:rPr>
          <w:rFonts w:ascii="仿宋_GB2312" w:eastAsia="仿宋_GB2312" w:hint="eastAsia"/>
          <w:color w:val="000000"/>
          <w:sz w:val="32"/>
          <w:szCs w:val="32"/>
        </w:rPr>
        <w:t>年预算安排中，购置单位价值50万元以上的设备</w:t>
      </w:r>
      <w:r>
        <w:rPr>
          <w:rFonts w:ascii="仿宋_GB2312" w:eastAsia="仿宋_GB2312"/>
          <w:color w:val="000000"/>
          <w:sz w:val="32"/>
          <w:szCs w:val="32"/>
        </w:rPr>
        <w:t>0</w:t>
      </w:r>
      <w:r>
        <w:rPr>
          <w:rFonts w:ascii="仿宋_GB2312" w:eastAsia="仿宋_GB2312" w:hint="eastAsia"/>
          <w:color w:val="000000"/>
          <w:sz w:val="32"/>
          <w:szCs w:val="32"/>
        </w:rPr>
        <w:t>台（套），共计</w:t>
      </w:r>
      <w:r>
        <w:rPr>
          <w:rFonts w:ascii="仿宋_GB2312" w:eastAsia="仿宋_GB2312"/>
          <w:color w:val="000000"/>
          <w:sz w:val="32"/>
          <w:szCs w:val="32"/>
        </w:rPr>
        <w:t>0</w:t>
      </w:r>
      <w:r>
        <w:rPr>
          <w:rFonts w:ascii="仿宋_GB2312" w:eastAsia="仿宋_GB2312" w:hint="eastAsia"/>
          <w:color w:val="000000"/>
          <w:sz w:val="32"/>
          <w:szCs w:val="32"/>
        </w:rPr>
        <w:t>万元。</w:t>
      </w:r>
    </w:p>
    <w:p w:rsidR="006B06A1" w:rsidRDefault="006763B7">
      <w:pPr>
        <w:spacing w:line="560" w:lineRule="exact"/>
        <w:ind w:firstLineChars="200" w:firstLine="640"/>
        <w:rPr>
          <w:rFonts w:ascii="仿宋_GB2312" w:eastAsia="仿宋_GB2312"/>
          <w:color w:val="000000"/>
          <w:sz w:val="32"/>
          <w:szCs w:val="32"/>
        </w:rPr>
      </w:pPr>
      <w:r>
        <w:rPr>
          <w:rFonts w:ascii="黑体" w:eastAsia="黑体" w:hint="eastAsia"/>
          <w:color w:val="000000"/>
          <w:sz w:val="32"/>
          <w:szCs w:val="32"/>
        </w:rPr>
        <w:t>六、名词解释</w:t>
      </w:r>
    </w:p>
    <w:p w:rsidR="006B06A1" w:rsidRDefault="006763B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6B06A1" w:rsidRDefault="006763B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6B06A1" w:rsidRDefault="006763B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6B06A1" w:rsidRDefault="006B06A1">
      <w:pPr>
        <w:pStyle w:val="2"/>
      </w:pPr>
    </w:p>
    <w:p w:rsidR="006B06A1" w:rsidRDefault="006B06A1"/>
    <w:p w:rsidR="006B06A1" w:rsidRDefault="006B06A1">
      <w:pPr>
        <w:pStyle w:val="2"/>
      </w:pPr>
    </w:p>
    <w:p w:rsidR="006B06A1" w:rsidRDefault="006B06A1"/>
    <w:p w:rsidR="006B06A1" w:rsidRDefault="006B06A1">
      <w:pPr>
        <w:pStyle w:val="2"/>
      </w:pPr>
    </w:p>
    <w:p w:rsidR="006B06A1" w:rsidRDefault="006B06A1"/>
    <w:p w:rsidR="006B06A1" w:rsidRDefault="006B06A1">
      <w:pPr>
        <w:pStyle w:val="2"/>
        <w:ind w:firstLine="723"/>
      </w:pPr>
    </w:p>
    <w:p w:rsidR="006B06A1" w:rsidRDefault="006B06A1">
      <w:pPr>
        <w:spacing w:line="560" w:lineRule="exact"/>
        <w:jc w:val="center"/>
        <w:rPr>
          <w:rFonts w:ascii="方正小标宋简体" w:eastAsia="方正小标宋简体"/>
          <w:color w:val="000000"/>
          <w:sz w:val="36"/>
          <w:szCs w:val="36"/>
        </w:rPr>
      </w:pPr>
    </w:p>
    <w:p w:rsidR="006B06A1" w:rsidRDefault="006763B7">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2025年度单位预算报表</w:t>
      </w:r>
    </w:p>
    <w:p w:rsidR="006B06A1" w:rsidRDefault="006B06A1">
      <w:pPr>
        <w:spacing w:line="560" w:lineRule="exact"/>
        <w:ind w:firstLineChars="200" w:firstLine="640"/>
        <w:jc w:val="left"/>
        <w:rPr>
          <w:rFonts w:ascii="仿宋_GB2312" w:eastAsia="仿宋_GB2312"/>
          <w:color w:val="000000"/>
          <w:sz w:val="32"/>
          <w:szCs w:val="32"/>
        </w:rPr>
      </w:pPr>
    </w:p>
    <w:p w:rsidR="006B06A1" w:rsidRDefault="006763B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附件：北京市社会</w:t>
      </w:r>
      <w:r>
        <w:rPr>
          <w:rFonts w:ascii="仿宋_GB2312" w:eastAsia="仿宋_GB2312"/>
          <w:color w:val="000000"/>
          <w:sz w:val="32"/>
          <w:szCs w:val="32"/>
        </w:rPr>
        <w:t>福利事务管理中心</w:t>
      </w:r>
      <w:r>
        <w:rPr>
          <w:rFonts w:ascii="仿宋_GB2312" w:eastAsia="仿宋_GB2312" w:hint="eastAsia"/>
          <w:color w:val="000000"/>
          <w:sz w:val="32"/>
          <w:szCs w:val="32"/>
        </w:rPr>
        <w:t>本级2025年度单位预算报表</w:t>
      </w:r>
    </w:p>
    <w:p w:rsidR="006B06A1" w:rsidRDefault="006B06A1">
      <w:pPr>
        <w:rPr>
          <w:rFonts w:ascii="仿宋_GB2312" w:eastAsia="仿宋_GB2312"/>
          <w:sz w:val="32"/>
          <w:szCs w:val="32"/>
        </w:rPr>
      </w:pPr>
      <w:bookmarkStart w:id="1" w:name="chaosong"/>
      <w:bookmarkEnd w:id="1"/>
    </w:p>
    <w:p w:rsidR="006B06A1" w:rsidRDefault="006B06A1"/>
    <w:sectPr w:rsidR="006B06A1" w:rsidSect="006B06A1">
      <w:footerReference w:type="default" r:id="rId10"/>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F48" w:rsidRDefault="00E95F48" w:rsidP="006B06A1">
      <w:r>
        <w:separator/>
      </w:r>
    </w:p>
  </w:endnote>
  <w:endnote w:type="continuationSeparator" w:id="0">
    <w:p w:rsidR="00E95F48" w:rsidRDefault="00E95F48" w:rsidP="006B06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6A1" w:rsidRDefault="00F85114">
    <w:pPr>
      <w:pStyle w:val="a5"/>
      <w:jc w:val="right"/>
      <w:rPr>
        <w:rFonts w:ascii="宋体" w:hAnsi="宋体"/>
        <w:sz w:val="28"/>
        <w:szCs w:val="28"/>
      </w:rPr>
    </w:pPr>
    <w:r w:rsidRPr="00F85114">
      <w:rPr>
        <w:sz w:val="28"/>
      </w:rPr>
      <w:pict>
        <v:shapetype id="_x0000_t202" coordsize="21600,21600" o:spt="202" path="m,l,21600r21600,l21600,xe">
          <v:stroke joinstyle="miter"/>
          <v:path gradientshapeok="t" o:connecttype="rect"/>
        </v:shapetype>
        <v:shape id="Quad Arrow 1" o:spid="_x0000_s2049" type="#_x0000_t202" style="position:absolute;left:0;text-align:left;margin-left:312pt;margin-top:0;width:2in;height:2in;z-index:1;mso-wrap-style:none;mso-position-horizontal:outside;mso-position-horizontal-relative:margin" o:preferrelative="t" filled="f" stroked="f">
          <v:textbox style="mso-fit-shape-to-text:t" inset="0,0,0,0">
            <w:txbxContent>
              <w:p w:rsidR="006B06A1" w:rsidRDefault="00F85114">
                <w:pPr>
                  <w:pStyle w:val="a5"/>
                  <w:jc w:val="right"/>
                </w:pPr>
                <w:r>
                  <w:rPr>
                    <w:rFonts w:ascii="宋体" w:hAnsi="宋体"/>
                    <w:sz w:val="28"/>
                    <w:szCs w:val="28"/>
                  </w:rPr>
                  <w:fldChar w:fldCharType="begin"/>
                </w:r>
                <w:r w:rsidR="006763B7">
                  <w:rPr>
                    <w:rFonts w:ascii="宋体" w:hAnsi="宋体"/>
                    <w:sz w:val="28"/>
                    <w:szCs w:val="28"/>
                  </w:rPr>
                  <w:instrText>PAGE   \* MERGEFORMAT</w:instrText>
                </w:r>
                <w:r>
                  <w:rPr>
                    <w:rFonts w:ascii="宋体" w:hAnsi="宋体"/>
                    <w:sz w:val="28"/>
                    <w:szCs w:val="28"/>
                  </w:rPr>
                  <w:fldChar w:fldCharType="separate"/>
                </w:r>
                <w:r w:rsidR="009D1DCF" w:rsidRPr="009D1DCF">
                  <w:rPr>
                    <w:rFonts w:ascii="宋体" w:hAnsi="宋体"/>
                    <w:noProof/>
                    <w:sz w:val="28"/>
                    <w:szCs w:val="28"/>
                    <w:lang w:val="zh-CN"/>
                  </w:rPr>
                  <w:t>-</w:t>
                </w:r>
                <w:r w:rsidR="009D1DCF">
                  <w:rPr>
                    <w:rFonts w:ascii="宋体" w:hAnsi="宋体"/>
                    <w:noProof/>
                    <w:sz w:val="28"/>
                    <w:szCs w:val="28"/>
                  </w:rPr>
                  <w:t xml:space="preserve"> 1 -</w:t>
                </w:r>
                <w:r>
                  <w:rPr>
                    <w:rFonts w:ascii="宋体" w:hAnsi="宋体"/>
                    <w:sz w:val="28"/>
                    <w:szCs w:val="28"/>
                  </w:rPr>
                  <w:fldChar w:fldCharType="end"/>
                </w:r>
              </w:p>
            </w:txbxContent>
          </v:textbox>
          <w10:wrap anchorx="margin"/>
        </v:shape>
      </w:pict>
    </w:r>
  </w:p>
  <w:p w:rsidR="006B06A1" w:rsidRDefault="006B06A1">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F48" w:rsidRDefault="00E95F48" w:rsidP="006B06A1">
      <w:r>
        <w:separator/>
      </w:r>
    </w:p>
  </w:footnote>
  <w:footnote w:type="continuationSeparator" w:id="0">
    <w:p w:rsidR="00E95F48" w:rsidRDefault="00E95F48" w:rsidP="006B06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2E9D19"/>
    <w:multiLevelType w:val="singleLevel"/>
    <w:tmpl w:val="FF2E9D19"/>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hdrShapeDefaults>
    <o:shapedefaults v:ext="edit" spidmax="717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F1804"/>
    <w:rsid w:val="00047420"/>
    <w:rsid w:val="000A22E8"/>
    <w:rsid w:val="001011DF"/>
    <w:rsid w:val="001520F7"/>
    <w:rsid w:val="00173C71"/>
    <w:rsid w:val="0019308E"/>
    <w:rsid w:val="001E1052"/>
    <w:rsid w:val="002A6383"/>
    <w:rsid w:val="002C29CB"/>
    <w:rsid w:val="002C3150"/>
    <w:rsid w:val="003771FB"/>
    <w:rsid w:val="00392192"/>
    <w:rsid w:val="003F7077"/>
    <w:rsid w:val="00436270"/>
    <w:rsid w:val="00452D20"/>
    <w:rsid w:val="004565B5"/>
    <w:rsid w:val="004A6565"/>
    <w:rsid w:val="004E76A8"/>
    <w:rsid w:val="00667C28"/>
    <w:rsid w:val="006763B7"/>
    <w:rsid w:val="006B06A1"/>
    <w:rsid w:val="006B1A0F"/>
    <w:rsid w:val="006F5E7E"/>
    <w:rsid w:val="00735A42"/>
    <w:rsid w:val="00753D12"/>
    <w:rsid w:val="007C742E"/>
    <w:rsid w:val="008516EA"/>
    <w:rsid w:val="008F1804"/>
    <w:rsid w:val="008F4DDB"/>
    <w:rsid w:val="009145A7"/>
    <w:rsid w:val="00963FCF"/>
    <w:rsid w:val="00966ED3"/>
    <w:rsid w:val="009D171A"/>
    <w:rsid w:val="009D1DCF"/>
    <w:rsid w:val="009E40A5"/>
    <w:rsid w:val="00AF71BE"/>
    <w:rsid w:val="00B41998"/>
    <w:rsid w:val="00BD6DB1"/>
    <w:rsid w:val="00C86478"/>
    <w:rsid w:val="00CA6710"/>
    <w:rsid w:val="00CC4426"/>
    <w:rsid w:val="00D6133A"/>
    <w:rsid w:val="00D64EF7"/>
    <w:rsid w:val="00D76996"/>
    <w:rsid w:val="00E03A5D"/>
    <w:rsid w:val="00E3056F"/>
    <w:rsid w:val="00E36330"/>
    <w:rsid w:val="00E95F48"/>
    <w:rsid w:val="00F12777"/>
    <w:rsid w:val="00F43952"/>
    <w:rsid w:val="00F85114"/>
    <w:rsid w:val="00FA130A"/>
    <w:rsid w:val="00FB387A"/>
    <w:rsid w:val="0DB23F31"/>
    <w:rsid w:val="6BB8589D"/>
    <w:rsid w:val="6C560ED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iPriority="99"/>
    <w:lsdException w:name="footer" w:semiHidden="0" w:uiPriority="99" w:unhideWhenUsed="0"/>
    <w:lsdException w:name="caption" w:qFormat="1"/>
    <w:lsdException w:name="Title" w:semiHidden="0" w:unhideWhenUsed="0" w:qFormat="1"/>
    <w:lsdException w:name="Default Paragraph Font" w:semiHidden="0"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B06A1"/>
    <w:pPr>
      <w:widowControl w:val="0"/>
      <w:jc w:val="both"/>
    </w:pPr>
    <w:rPr>
      <w:rFonts w:cs="Droid Sans"/>
      <w:kern w:val="2"/>
      <w:sz w:val="21"/>
      <w:szCs w:val="24"/>
    </w:rPr>
  </w:style>
  <w:style w:type="paragraph" w:styleId="2">
    <w:name w:val="heading 2"/>
    <w:basedOn w:val="a"/>
    <w:next w:val="a"/>
    <w:link w:val="2Char"/>
    <w:qFormat/>
    <w:rsid w:val="006B06A1"/>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rsid w:val="006B06A1"/>
    <w:pPr>
      <w:jc w:val="left"/>
    </w:pPr>
  </w:style>
  <w:style w:type="paragraph" w:styleId="a4">
    <w:name w:val="Balloon Text"/>
    <w:basedOn w:val="a"/>
    <w:link w:val="Char"/>
    <w:uiPriority w:val="99"/>
    <w:unhideWhenUsed/>
    <w:rsid w:val="006B06A1"/>
    <w:rPr>
      <w:sz w:val="18"/>
      <w:szCs w:val="18"/>
    </w:rPr>
  </w:style>
  <w:style w:type="paragraph" w:styleId="a5">
    <w:name w:val="footer"/>
    <w:basedOn w:val="a"/>
    <w:link w:val="Char0"/>
    <w:uiPriority w:val="99"/>
    <w:rsid w:val="006B06A1"/>
    <w:pPr>
      <w:tabs>
        <w:tab w:val="center" w:pos="4153"/>
        <w:tab w:val="right" w:pos="8306"/>
      </w:tabs>
      <w:snapToGrid w:val="0"/>
      <w:jc w:val="left"/>
    </w:pPr>
    <w:rPr>
      <w:rFonts w:cs="Times New Roman"/>
      <w:sz w:val="18"/>
      <w:szCs w:val="20"/>
    </w:rPr>
  </w:style>
  <w:style w:type="paragraph" w:styleId="a6">
    <w:name w:val="header"/>
    <w:basedOn w:val="a"/>
    <w:link w:val="Char1"/>
    <w:uiPriority w:val="99"/>
    <w:unhideWhenUsed/>
    <w:rsid w:val="006B06A1"/>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rsid w:val="006B06A1"/>
    <w:rPr>
      <w:rFonts w:ascii="Cambria" w:eastAsia="黑体" w:hAnsi="Cambria"/>
      <w:b/>
      <w:bCs/>
      <w:sz w:val="36"/>
      <w:szCs w:val="32"/>
    </w:rPr>
  </w:style>
  <w:style w:type="character" w:customStyle="1" w:styleId="Char0">
    <w:name w:val="页脚 Char"/>
    <w:basedOn w:val="a0"/>
    <w:link w:val="a5"/>
    <w:uiPriority w:val="99"/>
    <w:rsid w:val="006B06A1"/>
    <w:rPr>
      <w:kern w:val="2"/>
      <w:sz w:val="18"/>
    </w:rPr>
  </w:style>
  <w:style w:type="character" w:customStyle="1" w:styleId="Char">
    <w:name w:val="批注框文本 Char"/>
    <w:basedOn w:val="a0"/>
    <w:link w:val="a4"/>
    <w:uiPriority w:val="99"/>
    <w:semiHidden/>
    <w:rsid w:val="006B06A1"/>
    <w:rPr>
      <w:rFonts w:cs="Droid Sans"/>
      <w:kern w:val="2"/>
      <w:sz w:val="18"/>
      <w:szCs w:val="18"/>
    </w:rPr>
  </w:style>
  <w:style w:type="character" w:customStyle="1" w:styleId="Char1">
    <w:name w:val="页眉 Char"/>
    <w:basedOn w:val="a0"/>
    <w:link w:val="a6"/>
    <w:uiPriority w:val="99"/>
    <w:semiHidden/>
    <w:rsid w:val="006B06A1"/>
    <w:rPr>
      <w:rFonts w:cs="Droid Sans"/>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北京市社会福利事务管理中心本级2025年度单位预算信息公开</dc:title>
  <dc:creator>刘阳</dc:creator>
  <cp:lastModifiedBy>刘阳</cp:lastModifiedBy>
  <cp:revision>9</cp:revision>
  <dcterms:created xsi:type="dcterms:W3CDTF">2025-02-08T07:47:00Z</dcterms:created>
  <dcterms:modified xsi:type="dcterms:W3CDTF">2025-03-06T07:58:00Z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