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1F794">
      <w:pPr>
        <w:pStyle w:val="9"/>
        <w:numPr>
          <w:ilvl w:val="0"/>
          <w:numId w:val="0"/>
        </w:numPr>
        <w:tabs>
          <w:tab w:val="left" w:pos="312"/>
        </w:tabs>
        <w:overflowPunct w:val="0"/>
        <w:adjustRightInd w:val="0"/>
        <w:snapToGrid w:val="0"/>
        <w:spacing w:line="560" w:lineRule="exact"/>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发挥聚合引领作用，</w:t>
      </w:r>
      <w:bookmarkStart w:id="8" w:name="_GoBack"/>
      <w:bookmarkEnd w:id="8"/>
      <w:r>
        <w:rPr>
          <w:rFonts w:hint="eastAsia" w:ascii="方正小标宋简体" w:hAnsi="方正小标宋简体" w:eastAsia="方正小标宋简体" w:cs="方正小标宋简体"/>
          <w:color w:val="000000"/>
          <w:sz w:val="44"/>
          <w:szCs w:val="44"/>
        </w:rPr>
        <w:t>打造首都创新创业生态</w:t>
      </w:r>
    </w:p>
    <w:p w14:paraId="3ABFF715">
      <w:pPr>
        <w:pStyle w:val="9"/>
        <w:numPr>
          <w:ilvl w:val="0"/>
          <w:numId w:val="0"/>
        </w:numPr>
        <w:tabs>
          <w:tab w:val="left" w:pos="312"/>
        </w:tabs>
        <w:overflowPunct w:val="0"/>
        <w:adjustRightInd w:val="0"/>
        <w:snapToGrid w:val="0"/>
        <w:spacing w:line="560" w:lineRule="exact"/>
        <w:jc w:val="center"/>
        <w:outlineLvl w:val="9"/>
        <w:rPr>
          <w:rFonts w:hint="eastAsia" w:ascii="楷体" w:hAnsi="楷体" w:eastAsia="楷体" w:cs="方正小标宋简体"/>
          <w:color w:val="000000"/>
          <w:sz w:val="32"/>
          <w:szCs w:val="32"/>
        </w:rPr>
      </w:pPr>
      <w:r>
        <w:rPr>
          <w:rFonts w:hint="eastAsia" w:ascii="楷体" w:hAnsi="楷体" w:eastAsia="楷体" w:cs="方正小标宋简体"/>
          <w:color w:val="000000"/>
          <w:sz w:val="32"/>
          <w:szCs w:val="32"/>
        </w:rPr>
        <w:t>——中关村产业技术联盟联合会先进事迹材料</w:t>
      </w:r>
    </w:p>
    <w:p w14:paraId="7335C931">
      <w:pPr>
        <w:pStyle w:val="9"/>
        <w:numPr>
          <w:ilvl w:val="0"/>
          <w:numId w:val="0"/>
        </w:numPr>
        <w:tabs>
          <w:tab w:val="left" w:pos="312"/>
        </w:tabs>
        <w:overflowPunct w:val="0"/>
        <w:adjustRightInd w:val="0"/>
        <w:snapToGrid w:val="0"/>
        <w:spacing w:line="560" w:lineRule="exact"/>
        <w:ind w:firstLine="640"/>
        <w:jc w:val="left"/>
        <w:outlineLvl w:val="9"/>
        <w:rPr>
          <w:rFonts w:hint="eastAsia" w:ascii="仿宋" w:hAnsi="仿宋" w:eastAsia="仿宋"/>
          <w:sz w:val="32"/>
          <w:szCs w:val="32"/>
        </w:rPr>
      </w:pPr>
      <w:r>
        <w:rPr>
          <w:rFonts w:hint="eastAsia" w:ascii="仿宋" w:hAnsi="仿宋" w:eastAsia="仿宋"/>
          <w:sz w:val="32"/>
          <w:szCs w:val="32"/>
        </w:rPr>
        <w:t>中关村产业技术联盟联合会（简称“联盟联合会”）是北京市</w:t>
      </w:r>
      <w:r>
        <w:rPr>
          <w:rFonts w:eastAsia="仿宋"/>
          <w:sz w:val="32"/>
          <w:szCs w:val="32"/>
        </w:rPr>
        <w:t>5</w:t>
      </w:r>
      <w:r>
        <w:rPr>
          <w:rFonts w:hint="eastAsia" w:ascii="仿宋" w:hAnsi="仿宋" w:eastAsia="仿宋"/>
          <w:sz w:val="32"/>
          <w:szCs w:val="32"/>
        </w:rPr>
        <w:t>A级社会组织，先后获得科技部第二批科技服务业行业试点单位、全国工商联全国“四好”商会、中国科协“科创中国”北京科技服务团、“科创中国”中关村产业技术联盟专业科技服务团、北京市经信局北京市中小企业公共服务示范平台、北京市科协首批特色一流学会等称号。联盟联合会现有联盟会员</w:t>
      </w:r>
      <w:r>
        <w:rPr>
          <w:rFonts w:hint="eastAsia" w:eastAsia="仿宋"/>
          <w:sz w:val="32"/>
          <w:szCs w:val="32"/>
        </w:rPr>
        <w:t>158</w:t>
      </w:r>
      <w:r>
        <w:rPr>
          <w:rFonts w:hint="eastAsia" w:ascii="仿宋" w:hAnsi="仿宋" w:eastAsia="仿宋"/>
          <w:sz w:val="32"/>
          <w:szCs w:val="32"/>
        </w:rPr>
        <w:t>家，在新一代信息技术、生物健康、高端装备等产业领域具有极大影响力。联盟联合会积极推动联盟协同创新，跨界融合，共同服务科技创新和产业发展，助力打造北京中关村创新创业生态。</w:t>
      </w:r>
    </w:p>
    <w:p w14:paraId="0A0A9758">
      <w:pPr>
        <w:pStyle w:val="9"/>
        <w:numPr>
          <w:ilvl w:val="0"/>
          <w:numId w:val="1"/>
        </w:numPr>
        <w:tabs>
          <w:tab w:val="left" w:pos="312"/>
        </w:tabs>
        <w:overflowPunct w:val="0"/>
        <w:adjustRightInd w:val="0"/>
        <w:snapToGrid w:val="0"/>
        <w:spacing w:line="560" w:lineRule="exact"/>
        <w:ind w:firstLine="640"/>
        <w:jc w:val="left"/>
        <w:outlineLvl w:val="9"/>
        <w:rPr>
          <w:rFonts w:hint="eastAsia" w:ascii="黑体" w:hAnsi="黑体" w:eastAsia="黑体" w:cs="黑体"/>
          <w:sz w:val="32"/>
          <w:szCs w:val="32"/>
        </w:rPr>
      </w:pPr>
      <w:r>
        <w:rPr>
          <w:rFonts w:hint="eastAsia" w:ascii="黑体" w:hAnsi="黑体" w:eastAsia="黑体" w:cs="黑体"/>
          <w:sz w:val="32"/>
          <w:szCs w:val="32"/>
        </w:rPr>
        <w:t>坚持党建引领，规范联盟发展</w:t>
      </w:r>
    </w:p>
    <w:p w14:paraId="0EF80CB7">
      <w:pPr>
        <w:pStyle w:val="9"/>
        <w:numPr>
          <w:ilvl w:val="0"/>
          <w:numId w:val="0"/>
        </w:numPr>
        <w:tabs>
          <w:tab w:val="left" w:pos="312"/>
        </w:tabs>
        <w:overflowPunct w:val="0"/>
        <w:adjustRightInd w:val="0"/>
        <w:snapToGrid w:val="0"/>
        <w:spacing w:line="560" w:lineRule="exact"/>
        <w:ind w:firstLine="640" w:firstLineChars="200"/>
        <w:jc w:val="left"/>
        <w:outlineLvl w:val="9"/>
        <w:rPr>
          <w:rFonts w:hint="eastAsia" w:ascii="仿宋" w:hAnsi="仿宋" w:eastAsia="仿宋"/>
          <w:sz w:val="32"/>
          <w:szCs w:val="32"/>
        </w:rPr>
      </w:pPr>
      <w:r>
        <w:rPr>
          <w:rFonts w:hint="eastAsia" w:ascii="仿宋" w:hAnsi="仿宋" w:eastAsia="仿宋"/>
          <w:sz w:val="32"/>
          <w:szCs w:val="32"/>
        </w:rPr>
        <w:t>联盟联合会坚决贯彻落实党中央关于加强社会组织党的建设有关部署，坚持党建引领社会组织规范化建设与高质量发展，探索党建业务融合发展路径，打造“科创星火”党建品牌，每年开展党建活动</w:t>
      </w:r>
      <w:r>
        <w:rPr>
          <w:rFonts w:hint="eastAsia" w:eastAsia="仿宋"/>
          <w:sz w:val="32"/>
          <w:szCs w:val="32"/>
        </w:rPr>
        <w:t>20</w:t>
      </w:r>
      <w:r>
        <w:rPr>
          <w:rFonts w:hint="eastAsia" w:ascii="仿宋" w:hAnsi="仿宋" w:eastAsia="仿宋"/>
          <w:sz w:val="32"/>
          <w:szCs w:val="32"/>
        </w:rPr>
        <w:t>余场，产业服务活动</w:t>
      </w:r>
      <w:r>
        <w:rPr>
          <w:rFonts w:hint="eastAsia" w:eastAsia="仿宋"/>
          <w:sz w:val="32"/>
          <w:szCs w:val="32"/>
        </w:rPr>
        <w:t>100</w:t>
      </w:r>
      <w:r>
        <w:rPr>
          <w:rFonts w:hint="eastAsia" w:ascii="仿宋" w:hAnsi="仿宋" w:eastAsia="仿宋"/>
          <w:sz w:val="32"/>
          <w:szCs w:val="32"/>
        </w:rPr>
        <w:t>多次。联盟联合会党支部获评市行业协会商会综合党委“党建标杆”，产业联盟“联合护航行动”获“党建强 发展强”品牌项目。连续</w:t>
      </w:r>
      <w:r>
        <w:rPr>
          <w:rFonts w:hint="eastAsia" w:eastAsia="仿宋"/>
          <w:sz w:val="32"/>
          <w:szCs w:val="32"/>
        </w:rPr>
        <w:t>5</w:t>
      </w:r>
      <w:r>
        <w:rPr>
          <w:rFonts w:hint="eastAsia" w:ascii="仿宋" w:hAnsi="仿宋" w:eastAsia="仿宋"/>
          <w:sz w:val="32"/>
          <w:szCs w:val="32"/>
        </w:rPr>
        <w:t>年开展产业联盟诚信体系建设工作，引导联盟规范可持续发展，共计有</w:t>
      </w:r>
      <w:r>
        <w:rPr>
          <w:rFonts w:hint="eastAsia" w:eastAsia="仿宋"/>
          <w:sz w:val="32"/>
          <w:szCs w:val="32"/>
        </w:rPr>
        <w:t>400</w:t>
      </w:r>
      <w:r>
        <w:rPr>
          <w:rFonts w:hint="eastAsia" w:ascii="仿宋" w:hAnsi="仿宋" w:eastAsia="仿宋"/>
          <w:sz w:val="32"/>
          <w:szCs w:val="32"/>
        </w:rPr>
        <w:t>家次联盟参与。</w:t>
      </w:r>
    </w:p>
    <w:p w14:paraId="53B4659E">
      <w:pPr>
        <w:pStyle w:val="9"/>
        <w:numPr>
          <w:ilvl w:val="0"/>
          <w:numId w:val="0"/>
        </w:numPr>
        <w:tabs>
          <w:tab w:val="left" w:pos="312"/>
        </w:tabs>
        <w:overflowPunct w:val="0"/>
        <w:adjustRightInd w:val="0"/>
        <w:snapToGrid w:val="0"/>
        <w:spacing w:line="560" w:lineRule="exact"/>
        <w:ind w:firstLine="640" w:firstLineChars="200"/>
        <w:jc w:val="left"/>
        <w:outlineLvl w:val="9"/>
        <w:rPr>
          <w:rFonts w:hint="eastAsia" w:ascii="黑体" w:hAnsi="黑体" w:eastAsia="黑体" w:cs="黑体"/>
          <w:sz w:val="32"/>
          <w:szCs w:val="32"/>
        </w:rPr>
      </w:pPr>
      <w:r>
        <w:rPr>
          <w:rFonts w:hint="eastAsia" w:ascii="黑体" w:hAnsi="黑体" w:eastAsia="黑体" w:cs="黑体"/>
          <w:sz w:val="32"/>
          <w:szCs w:val="32"/>
        </w:rPr>
        <w:t>二、打造品牌活动，服务科技创新</w:t>
      </w:r>
    </w:p>
    <w:p w14:paraId="5C8D2050">
      <w:pPr>
        <w:pStyle w:val="9"/>
        <w:numPr>
          <w:ilvl w:val="0"/>
          <w:numId w:val="0"/>
        </w:numPr>
        <w:tabs>
          <w:tab w:val="left" w:pos="312"/>
        </w:tabs>
        <w:overflowPunct w:val="0"/>
        <w:adjustRightInd w:val="0"/>
        <w:snapToGrid w:val="0"/>
        <w:spacing w:line="560" w:lineRule="exact"/>
        <w:ind w:firstLine="640" w:firstLineChars="200"/>
        <w:jc w:val="left"/>
        <w:outlineLvl w:val="9"/>
        <w:rPr>
          <w:rFonts w:hint="eastAsia" w:ascii="仿宋" w:hAnsi="仿宋" w:eastAsia="仿宋"/>
          <w:sz w:val="32"/>
          <w:szCs w:val="32"/>
        </w:rPr>
      </w:pPr>
      <w:r>
        <w:rPr>
          <w:rFonts w:hint="eastAsia" w:ascii="仿宋" w:hAnsi="仿宋" w:eastAsia="仿宋"/>
          <w:sz w:val="32"/>
          <w:szCs w:val="32"/>
        </w:rPr>
        <w:t>联盟联合会聚焦战略性新兴产业创新发展方向，围绕服务科技创新生态、推动科技产业发展、促进前沿科技成果转移转化等方面，着力打造了“科创中国”科技创新创效行动（</w:t>
      </w:r>
      <w:r>
        <w:rPr>
          <w:rFonts w:hint="eastAsia" w:eastAsia="仿宋"/>
          <w:sz w:val="32"/>
          <w:szCs w:val="32"/>
        </w:rPr>
        <w:t>2020-2025</w:t>
      </w:r>
      <w:r>
        <w:rPr>
          <w:rFonts w:hint="eastAsia" w:ascii="仿宋" w:hAnsi="仿宋" w:eastAsia="仿宋"/>
          <w:sz w:val="32"/>
          <w:szCs w:val="32"/>
        </w:rPr>
        <w:t>）、“科创中国”企业创新大家谈/产学研融通创新活动（</w:t>
      </w:r>
      <w:r>
        <w:rPr>
          <w:rFonts w:hint="eastAsia" w:eastAsia="仿宋"/>
          <w:sz w:val="32"/>
          <w:szCs w:val="32"/>
        </w:rPr>
        <w:t>2021-2024</w:t>
      </w:r>
      <w:r>
        <w:rPr>
          <w:rFonts w:hint="eastAsia" w:ascii="仿宋" w:hAnsi="仿宋" w:eastAsia="仿宋"/>
          <w:sz w:val="32"/>
          <w:szCs w:val="32"/>
        </w:rPr>
        <w:t>）、中关村新兴领域专题赛（</w:t>
      </w:r>
      <w:r>
        <w:rPr>
          <w:rFonts w:hint="eastAsia" w:eastAsia="仿宋"/>
          <w:sz w:val="32"/>
          <w:szCs w:val="32"/>
        </w:rPr>
        <w:t>2022-2024</w:t>
      </w:r>
      <w:r>
        <w:rPr>
          <w:rFonts w:hint="eastAsia" w:ascii="仿宋" w:hAnsi="仿宋" w:eastAsia="仿宋"/>
          <w:sz w:val="32"/>
          <w:szCs w:val="32"/>
        </w:rPr>
        <w:t>）、中关村论坛系列活动之海归人才创新创业暨企业数字化转型论坛（</w:t>
      </w:r>
      <w:r>
        <w:rPr>
          <w:rFonts w:hint="eastAsia" w:eastAsia="仿宋"/>
          <w:sz w:val="32"/>
          <w:szCs w:val="32"/>
        </w:rPr>
        <w:t>2023</w:t>
      </w:r>
      <w:r>
        <w:rPr>
          <w:rFonts w:hint="eastAsia" w:ascii="仿宋" w:hAnsi="仿宋" w:eastAsia="仿宋"/>
          <w:sz w:val="32"/>
          <w:szCs w:val="32"/>
        </w:rPr>
        <w:t>）、互联网采购供应链大会（</w:t>
      </w:r>
      <w:r>
        <w:rPr>
          <w:rFonts w:hint="eastAsia" w:eastAsia="仿宋"/>
          <w:sz w:val="32"/>
          <w:szCs w:val="32"/>
        </w:rPr>
        <w:t>2025</w:t>
      </w:r>
      <w:r>
        <w:rPr>
          <w:rFonts w:hint="eastAsia" w:ascii="仿宋" w:hAnsi="仿宋" w:eastAsia="仿宋"/>
          <w:sz w:val="32"/>
          <w:szCs w:val="32"/>
        </w:rPr>
        <w:t>）等一系列品牌活动，在服务企业科技创新方面取得了优异成绩，为包括海内外广大科技工作者提供对接交流平台，为首都高质量发展和北京国际科技创新中心建设贡献力量。</w:t>
      </w:r>
    </w:p>
    <w:p w14:paraId="7171FF06">
      <w:pPr>
        <w:pStyle w:val="9"/>
        <w:numPr>
          <w:ilvl w:val="0"/>
          <w:numId w:val="0"/>
        </w:numPr>
        <w:tabs>
          <w:tab w:val="left" w:pos="312"/>
        </w:tabs>
        <w:overflowPunct w:val="0"/>
        <w:adjustRightInd w:val="0"/>
        <w:snapToGrid w:val="0"/>
        <w:spacing w:line="560" w:lineRule="exact"/>
        <w:ind w:firstLine="640" w:firstLineChars="200"/>
        <w:jc w:val="left"/>
        <w:outlineLvl w:val="9"/>
        <w:rPr>
          <w:rFonts w:hint="eastAsia" w:ascii="仿宋" w:hAnsi="仿宋" w:eastAsia="仿宋"/>
          <w:sz w:val="32"/>
          <w:szCs w:val="32"/>
        </w:rPr>
      </w:pPr>
      <w:r>
        <w:rPr>
          <w:rFonts w:hint="eastAsia" w:ascii="仿宋" w:hAnsi="仿宋" w:eastAsia="仿宋"/>
          <w:sz w:val="32"/>
          <w:szCs w:val="32"/>
        </w:rPr>
        <w:t>其中，“科创中国”科技创新创效大赛自</w:t>
      </w:r>
      <w:r>
        <w:rPr>
          <w:rFonts w:hint="eastAsia" w:eastAsia="仿宋"/>
          <w:sz w:val="32"/>
          <w:szCs w:val="32"/>
        </w:rPr>
        <w:t>2020</w:t>
      </w:r>
      <w:r>
        <w:rPr>
          <w:rFonts w:hint="eastAsia" w:ascii="仿宋" w:hAnsi="仿宋" w:eastAsia="仿宋"/>
          <w:sz w:val="32"/>
          <w:szCs w:val="32"/>
        </w:rPr>
        <w:t>年创办以来，累计吸引全国</w:t>
      </w:r>
      <w:r>
        <w:rPr>
          <w:rFonts w:hint="eastAsia" w:eastAsia="仿宋"/>
          <w:sz w:val="32"/>
          <w:szCs w:val="32"/>
        </w:rPr>
        <w:t>1000</w:t>
      </w:r>
      <w:r>
        <w:rPr>
          <w:rFonts w:hint="eastAsia" w:ascii="仿宋" w:hAnsi="仿宋" w:eastAsia="仿宋"/>
          <w:sz w:val="32"/>
          <w:szCs w:val="32"/>
        </w:rPr>
        <w:t>余家具备关键核心技术创新能力的初创企业及高成长团队参赛，培育出超</w:t>
      </w:r>
      <w:r>
        <w:rPr>
          <w:rFonts w:hint="eastAsia" w:eastAsia="仿宋"/>
          <w:sz w:val="32"/>
          <w:szCs w:val="32"/>
        </w:rPr>
        <w:t>100</w:t>
      </w:r>
      <w:r>
        <w:rPr>
          <w:rFonts w:hint="eastAsia" w:ascii="仿宋" w:hAnsi="仿宋" w:eastAsia="仿宋"/>
          <w:sz w:val="32"/>
          <w:szCs w:val="32"/>
        </w:rPr>
        <w:t>个优质项目。大赛构建产业对接平台，促成</w:t>
      </w:r>
      <w:r>
        <w:rPr>
          <w:rFonts w:hint="eastAsia" w:eastAsia="仿宋"/>
          <w:sz w:val="32"/>
          <w:szCs w:val="32"/>
        </w:rPr>
        <w:t>60</w:t>
      </w:r>
      <w:r>
        <w:rPr>
          <w:rFonts w:hint="eastAsia" w:ascii="仿宋" w:hAnsi="仿宋" w:eastAsia="仿宋"/>
          <w:sz w:val="32"/>
          <w:szCs w:val="32"/>
        </w:rPr>
        <w:t>余家企业在产品研发、技术转让等领域达成近</w:t>
      </w:r>
      <w:r>
        <w:rPr>
          <w:rFonts w:hint="eastAsia" w:eastAsia="仿宋"/>
          <w:sz w:val="32"/>
          <w:szCs w:val="32"/>
        </w:rPr>
        <w:t>150</w:t>
      </w:r>
      <w:r>
        <w:rPr>
          <w:rFonts w:hint="eastAsia" w:ascii="仿宋" w:hAnsi="仿宋" w:eastAsia="仿宋"/>
          <w:sz w:val="32"/>
          <w:szCs w:val="32"/>
        </w:rPr>
        <w:t>项合作协议，累计合同金额突破</w:t>
      </w:r>
      <w:r>
        <w:rPr>
          <w:rFonts w:hint="eastAsia" w:eastAsia="仿宋"/>
          <w:sz w:val="32"/>
          <w:szCs w:val="32"/>
        </w:rPr>
        <w:t>10</w:t>
      </w:r>
      <w:r>
        <w:rPr>
          <w:rFonts w:hint="eastAsia" w:ascii="仿宋" w:hAnsi="仿宋" w:eastAsia="仿宋"/>
          <w:sz w:val="32"/>
          <w:szCs w:val="32"/>
        </w:rPr>
        <w:t>亿元；搭建成果转化桥梁，成功推动乾力股科技等</w:t>
      </w:r>
      <w:r>
        <w:rPr>
          <w:rFonts w:hint="eastAsia" w:eastAsia="仿宋"/>
          <w:sz w:val="32"/>
          <w:szCs w:val="32"/>
        </w:rPr>
        <w:t>30</w:t>
      </w:r>
      <w:r>
        <w:rPr>
          <w:rFonts w:hint="eastAsia" w:ascii="仿宋" w:hAnsi="仿宋" w:eastAsia="仿宋"/>
          <w:sz w:val="32"/>
          <w:szCs w:val="32"/>
        </w:rPr>
        <w:t>余家优质项目落地；建立投融资对接机制，累计为参赛企业链接投资机构超</w:t>
      </w:r>
      <w:r>
        <w:rPr>
          <w:rFonts w:hint="eastAsia" w:eastAsia="仿宋"/>
          <w:sz w:val="32"/>
          <w:szCs w:val="32"/>
        </w:rPr>
        <w:t>4000</w:t>
      </w:r>
      <w:r>
        <w:rPr>
          <w:rFonts w:hint="eastAsia" w:ascii="仿宋" w:hAnsi="仿宋" w:eastAsia="仿宋"/>
          <w:sz w:val="32"/>
          <w:szCs w:val="32"/>
        </w:rPr>
        <w:t>家次，实现融资总额近</w:t>
      </w:r>
      <w:r>
        <w:rPr>
          <w:rFonts w:hint="eastAsia" w:eastAsia="仿宋"/>
          <w:sz w:val="32"/>
          <w:szCs w:val="32"/>
        </w:rPr>
        <w:t>30</w:t>
      </w:r>
      <w:r>
        <w:rPr>
          <w:rFonts w:hint="eastAsia" w:ascii="仿宋" w:hAnsi="仿宋" w:eastAsia="仿宋"/>
          <w:sz w:val="32"/>
          <w:szCs w:val="32"/>
        </w:rPr>
        <w:t>亿元；构建人才培育体系，累计发掘科技人才</w:t>
      </w:r>
      <w:r>
        <w:rPr>
          <w:rFonts w:hint="eastAsia" w:eastAsia="仿宋"/>
          <w:sz w:val="32"/>
          <w:szCs w:val="32"/>
        </w:rPr>
        <w:t>3000</w:t>
      </w:r>
      <w:r>
        <w:rPr>
          <w:rFonts w:hint="eastAsia" w:ascii="仿宋" w:hAnsi="仿宋" w:eastAsia="仿宋"/>
          <w:sz w:val="32"/>
          <w:szCs w:val="32"/>
        </w:rPr>
        <w:t>余名，重点推荐</w:t>
      </w:r>
      <w:r>
        <w:rPr>
          <w:rFonts w:hint="eastAsia" w:eastAsia="仿宋"/>
          <w:sz w:val="32"/>
          <w:szCs w:val="32"/>
        </w:rPr>
        <w:t>60</w:t>
      </w:r>
      <w:r>
        <w:rPr>
          <w:rFonts w:hint="eastAsia" w:ascii="仿宋" w:hAnsi="仿宋" w:eastAsia="仿宋"/>
          <w:sz w:val="32"/>
          <w:szCs w:val="32"/>
        </w:rPr>
        <w:t>余位领军人才参与北京市卓越工程师成长计划等国家级人才工程；成功辅导16家初创企业获国高新认证。</w:t>
      </w:r>
    </w:p>
    <w:p w14:paraId="082FA64F">
      <w:pPr>
        <w:pStyle w:val="9"/>
        <w:numPr>
          <w:ilvl w:val="0"/>
          <w:numId w:val="0"/>
        </w:numPr>
        <w:tabs>
          <w:tab w:val="left" w:pos="312"/>
        </w:tabs>
        <w:overflowPunct w:val="0"/>
        <w:adjustRightInd w:val="0"/>
        <w:snapToGrid w:val="0"/>
        <w:spacing w:line="560" w:lineRule="exact"/>
        <w:ind w:firstLine="640" w:firstLineChars="200"/>
        <w:jc w:val="left"/>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汇聚联盟资源，助力产业高质量发展</w:t>
      </w:r>
    </w:p>
    <w:p w14:paraId="1F8F975A">
      <w:pPr>
        <w:pStyle w:val="9"/>
        <w:numPr>
          <w:ilvl w:val="0"/>
          <w:numId w:val="0"/>
        </w:numPr>
        <w:tabs>
          <w:tab w:val="left" w:pos="312"/>
        </w:tabs>
        <w:overflowPunct w:val="0"/>
        <w:adjustRightInd w:val="0"/>
        <w:snapToGrid w:val="0"/>
        <w:spacing w:line="560" w:lineRule="exact"/>
        <w:ind w:firstLine="640" w:firstLineChars="200"/>
        <w:jc w:val="left"/>
        <w:outlineLvl w:val="9"/>
        <w:rPr>
          <w:rFonts w:hint="eastAsia" w:ascii="仿宋" w:hAnsi="仿宋" w:eastAsia="仿宋"/>
          <w:sz w:val="32"/>
          <w:szCs w:val="32"/>
        </w:rPr>
      </w:pPr>
      <w:r>
        <w:rPr>
          <w:rFonts w:hint="eastAsia" w:ascii="仿宋" w:hAnsi="仿宋" w:eastAsia="仿宋"/>
          <w:sz w:val="32"/>
          <w:szCs w:val="32"/>
        </w:rPr>
        <w:t>联盟联合会发挥人才云集和资源汇聚优势，组织各领域专家</w:t>
      </w:r>
      <w:r>
        <w:rPr>
          <w:rFonts w:hint="eastAsia" w:eastAsia="仿宋"/>
          <w:sz w:val="32"/>
          <w:szCs w:val="32"/>
        </w:rPr>
        <w:t>1600</w:t>
      </w:r>
      <w:r>
        <w:rPr>
          <w:rFonts w:hint="eastAsia" w:ascii="仿宋" w:hAnsi="仿宋" w:eastAsia="仿宋"/>
          <w:sz w:val="32"/>
          <w:szCs w:val="32"/>
        </w:rPr>
        <w:t>多位，开展产业行业研究、产业规划等战略咨询服务。先后完成《港澳科技创新、产业创新与科技服务机构研究》《“新基建”科创中心战略咨询方案》《新疆生产建设兵团产业发展案例研究》等国家及地方课题研究</w:t>
      </w:r>
      <w:r>
        <w:rPr>
          <w:rFonts w:hint="eastAsia" w:eastAsia="仿宋"/>
          <w:sz w:val="32"/>
          <w:szCs w:val="32"/>
        </w:rPr>
        <w:t>30</w:t>
      </w:r>
      <w:r>
        <w:rPr>
          <w:rFonts w:hint="eastAsia" w:ascii="仿宋" w:hAnsi="仿宋" w:eastAsia="仿宋"/>
          <w:sz w:val="32"/>
          <w:szCs w:val="32"/>
        </w:rPr>
        <w:t>余项，向产业行业主管部门和各类创新主体提供高水平的发展趋势研判、政策建议。连续</w:t>
      </w:r>
      <w:r>
        <w:rPr>
          <w:rFonts w:hint="eastAsia" w:eastAsia="仿宋"/>
          <w:sz w:val="32"/>
          <w:szCs w:val="32"/>
        </w:rPr>
        <w:t>11</w:t>
      </w:r>
      <w:r>
        <w:rPr>
          <w:rFonts w:hint="eastAsia" w:ascii="仿宋" w:hAnsi="仿宋" w:eastAsia="仿宋"/>
          <w:sz w:val="32"/>
          <w:szCs w:val="32"/>
        </w:rPr>
        <w:t>年编制《中关村产业技术联盟技术发展蓝皮书》和《中关村产业技术联盟产业发展白皮书》，覆盖人工智能、新能源、半导体、生物医药等全国重点产业和前沿技术领域，为相关部门制定推动产业发展的政策提供依据。围绕园区产业布局，组织产业联盟开展“园区行”系列活动，与行业应用部门、典型应用区域和市场对接，推动优质项目落地。近</w:t>
      </w:r>
      <w:r>
        <w:rPr>
          <w:rFonts w:hint="eastAsia" w:eastAsia="仿宋"/>
          <w:sz w:val="32"/>
          <w:szCs w:val="32"/>
        </w:rPr>
        <w:t>3</w:t>
      </w:r>
      <w:r>
        <w:rPr>
          <w:rFonts w:hint="eastAsia" w:ascii="仿宋" w:hAnsi="仿宋" w:eastAsia="仿宋"/>
          <w:sz w:val="32"/>
          <w:szCs w:val="32"/>
        </w:rPr>
        <w:t>年来，开展园区行活动系列</w:t>
      </w:r>
      <w:r>
        <w:rPr>
          <w:rFonts w:hint="eastAsia" w:eastAsia="仿宋"/>
          <w:sz w:val="32"/>
          <w:szCs w:val="32"/>
        </w:rPr>
        <w:t>50</w:t>
      </w:r>
      <w:r>
        <w:rPr>
          <w:rFonts w:hint="eastAsia" w:ascii="仿宋" w:hAnsi="仿宋" w:eastAsia="仿宋"/>
          <w:sz w:val="32"/>
          <w:szCs w:val="32"/>
        </w:rPr>
        <w:t>多场，累计帮助</w:t>
      </w:r>
      <w:r>
        <w:rPr>
          <w:rFonts w:hint="eastAsia" w:eastAsia="仿宋"/>
          <w:sz w:val="32"/>
          <w:szCs w:val="32"/>
        </w:rPr>
        <w:t>300</w:t>
      </w:r>
      <w:r>
        <w:rPr>
          <w:rFonts w:hint="eastAsia" w:ascii="仿宋" w:hAnsi="仿宋" w:eastAsia="仿宋"/>
          <w:sz w:val="32"/>
          <w:szCs w:val="32"/>
        </w:rPr>
        <w:t>多家联盟、企业对接园区，</w:t>
      </w:r>
      <w:r>
        <w:rPr>
          <w:rFonts w:hint="eastAsia" w:eastAsia="仿宋"/>
          <w:sz w:val="32"/>
          <w:szCs w:val="32"/>
        </w:rPr>
        <w:t>4000</w:t>
      </w:r>
      <w:r>
        <w:rPr>
          <w:rFonts w:hint="eastAsia" w:ascii="仿宋" w:hAnsi="仿宋" w:eastAsia="仿宋"/>
          <w:sz w:val="32"/>
          <w:szCs w:val="32"/>
        </w:rPr>
        <w:t>余人次深度参与活动，达成资本、技术、空间需求等方面合作</w:t>
      </w:r>
      <w:r>
        <w:rPr>
          <w:rFonts w:hint="eastAsia" w:eastAsia="仿宋"/>
          <w:sz w:val="32"/>
          <w:szCs w:val="32"/>
        </w:rPr>
        <w:t>60</w:t>
      </w:r>
      <w:r>
        <w:rPr>
          <w:rFonts w:hint="eastAsia" w:ascii="仿宋" w:hAnsi="仿宋" w:eastAsia="仿宋"/>
          <w:sz w:val="32"/>
          <w:szCs w:val="32"/>
        </w:rPr>
        <w:t>余项，</w:t>
      </w:r>
      <w:r>
        <w:rPr>
          <w:rFonts w:hint="eastAsia" w:eastAsia="仿宋"/>
          <w:sz w:val="32"/>
          <w:szCs w:val="32"/>
        </w:rPr>
        <w:t>40</w:t>
      </w:r>
      <w:r>
        <w:rPr>
          <w:rFonts w:hint="eastAsia" w:ascii="仿宋" w:hAnsi="仿宋" w:eastAsia="仿宋"/>
          <w:sz w:val="32"/>
          <w:szCs w:val="32"/>
        </w:rPr>
        <w:t>多家科技创新型企业落地北京中关村园区。组织产业技术联盟开展“联合护航行动”，为企业提供免费或优惠的科创服务，</w:t>
      </w:r>
      <w:r>
        <w:rPr>
          <w:rFonts w:hint="eastAsia" w:eastAsia="仿宋"/>
          <w:sz w:val="32"/>
          <w:szCs w:val="32"/>
        </w:rPr>
        <w:t>2020</w:t>
      </w:r>
      <w:r>
        <w:rPr>
          <w:rFonts w:hint="eastAsia" w:ascii="仿宋" w:hAnsi="仿宋" w:eastAsia="仿宋"/>
          <w:sz w:val="32"/>
          <w:szCs w:val="32"/>
        </w:rPr>
        <w:t>年启动以来，面向社会开放各类活动近</w:t>
      </w:r>
      <w:r>
        <w:rPr>
          <w:rFonts w:hint="eastAsia" w:eastAsia="仿宋"/>
          <w:sz w:val="32"/>
          <w:szCs w:val="32"/>
        </w:rPr>
        <w:t>700</w:t>
      </w:r>
      <w:r>
        <w:rPr>
          <w:rFonts w:hint="eastAsia" w:ascii="仿宋" w:hAnsi="仿宋" w:eastAsia="仿宋"/>
          <w:sz w:val="32"/>
          <w:szCs w:val="32"/>
        </w:rPr>
        <w:t>场，共性技术平台</w:t>
      </w:r>
      <w:r>
        <w:rPr>
          <w:rFonts w:hint="eastAsia" w:eastAsia="仿宋"/>
          <w:sz w:val="32"/>
          <w:szCs w:val="32"/>
        </w:rPr>
        <w:t>45</w:t>
      </w:r>
      <w:r>
        <w:rPr>
          <w:rFonts w:hint="eastAsia" w:ascii="仿宋" w:hAnsi="仿宋" w:eastAsia="仿宋"/>
          <w:sz w:val="32"/>
          <w:szCs w:val="32"/>
        </w:rPr>
        <w:t>个，产业研究成果</w:t>
      </w:r>
      <w:r>
        <w:rPr>
          <w:rFonts w:hint="eastAsia" w:eastAsia="仿宋"/>
          <w:sz w:val="32"/>
          <w:szCs w:val="32"/>
        </w:rPr>
        <w:t>180</w:t>
      </w:r>
      <w:r>
        <w:rPr>
          <w:rFonts w:hint="eastAsia" w:ascii="仿宋" w:hAnsi="仿宋" w:eastAsia="仿宋"/>
          <w:sz w:val="32"/>
          <w:szCs w:val="32"/>
        </w:rPr>
        <w:t>多项，推广标准</w:t>
      </w:r>
      <w:r>
        <w:rPr>
          <w:rFonts w:hint="eastAsia" w:eastAsia="仿宋"/>
          <w:sz w:val="32"/>
          <w:szCs w:val="32"/>
        </w:rPr>
        <w:t>200</w:t>
      </w:r>
      <w:r>
        <w:rPr>
          <w:rFonts w:hint="eastAsia" w:ascii="仿宋" w:hAnsi="仿宋" w:eastAsia="仿宋"/>
          <w:sz w:val="32"/>
          <w:szCs w:val="32"/>
        </w:rPr>
        <w:t>多项，有效聚集盘活了联盟科技创新资源，达成了护航企业发展、助力企业成长的目标。</w:t>
      </w:r>
    </w:p>
    <w:p w14:paraId="01AF28F4">
      <w:pPr>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“党建红”引领“科技蓝”</w:t>
      </w:r>
    </w:p>
    <w:p w14:paraId="657745B4">
      <w:pPr>
        <w:adjustRightInd w:val="0"/>
        <w:snapToGrid w:val="0"/>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推动人工智能技术创新发展</w:t>
      </w:r>
    </w:p>
    <w:p w14:paraId="4832ACA5">
      <w:pPr>
        <w:adjustRightInd w:val="0"/>
        <w:snapToGrid w:val="0"/>
        <w:spacing w:line="560" w:lineRule="exact"/>
        <w:jc w:val="center"/>
        <w:rPr>
          <w:rFonts w:ascii="Times New Roman Regular" w:hAnsi="Times New Roman Regular" w:eastAsia="方正小标宋简体" w:cs="Times New Roman Regular"/>
          <w:color w:val="000000"/>
          <w:sz w:val="44"/>
          <w:szCs w:val="44"/>
        </w:rPr>
      </w:pPr>
      <w:r>
        <w:rPr>
          <w:rFonts w:hint="eastAsia" w:ascii="楷体" w:hAnsi="楷体" w:eastAsia="楷体" w:cs="方正小标宋简体"/>
          <w:color w:val="000000"/>
          <w:kern w:val="0"/>
          <w:sz w:val="32"/>
          <w:szCs w:val="32"/>
        </w:rPr>
        <w:t>——北京智源人工智能研究院先进</w:t>
      </w:r>
      <w:r>
        <w:rPr>
          <w:rFonts w:hint="eastAsia" w:ascii="楷体" w:hAnsi="楷体" w:eastAsia="楷体" w:cs="方正小标宋简体"/>
          <w:color w:val="000000"/>
          <w:sz w:val="32"/>
          <w:szCs w:val="32"/>
        </w:rPr>
        <w:t>事迹材料</w:t>
      </w:r>
    </w:p>
    <w:p w14:paraId="561F5746">
      <w:pPr>
        <w:spacing w:line="560" w:lineRule="exact"/>
        <w:ind w:firstLine="600"/>
        <w:rPr>
          <w:rFonts w:hint="eastAsia" w:ascii="仿宋" w:hAnsi="仿宋" w:eastAsia="仿宋" w:cs="仿宋"/>
          <w:color w:val="000000"/>
          <w:sz w:val="32"/>
          <w:szCs w:val="32"/>
        </w:rPr>
      </w:pPr>
      <w:r>
        <w:rPr>
          <w:rFonts w:hint="eastAsia" w:ascii="仿宋" w:hAnsi="仿宋" w:eastAsia="仿宋" w:cs="仿宋"/>
          <w:color w:val="000000"/>
          <w:sz w:val="32"/>
          <w:szCs w:val="32"/>
        </w:rPr>
        <w:t>北京智源人工智能研究院（简称“智源研究院”）是2018年11月注册登记的民办非企业单位，是北京市推动成立的新型研发机构。智源研究院的核心目标是聚焦人工智能原始创新和核心技术，推动人工智能理论、方法、工具、系统和应用取得变革性、颠覆性突破，支撑北京建设成为全球人工智能学术思想、基础理论、顶尖人才、企业创新和发展政策的源头。智源研究院实行理事会领导下的院长负责制，理事长由北京大学黄铁军教授担任，院长由曾任职于微软亚洲研究院、Facebook、美团、快手等机构，荣获2018年《麻省理工科技评论》“35岁以下科技创新35人”等荣誉的王仲远博士担任。</w:t>
      </w:r>
      <w:bookmarkStart w:id="0" w:name="OLE_LINK14"/>
      <w:bookmarkStart w:id="1" w:name="OLE_LINK13"/>
      <w:bookmarkStart w:id="2" w:name="OLE_LINK37"/>
      <w:bookmarkStart w:id="3" w:name="OLE_LINK19"/>
      <w:bookmarkStart w:id="4" w:name="OLE_LINK12"/>
      <w:r>
        <w:rPr>
          <w:rFonts w:hint="eastAsia" w:ascii="仿宋" w:hAnsi="仿宋" w:eastAsia="仿宋" w:cs="仿宋"/>
          <w:color w:val="000000"/>
          <w:sz w:val="32"/>
          <w:szCs w:val="32"/>
        </w:rPr>
        <w:t>研究院已组建研发团队409人，包括全职人员183人，兼职人员18人，学术项目合作及劳务外包人员28人，实习生180人，</w:t>
      </w:r>
      <w:bookmarkEnd w:id="0"/>
      <w:bookmarkEnd w:id="1"/>
      <w:bookmarkEnd w:id="2"/>
      <w:bookmarkEnd w:id="3"/>
      <w:bookmarkEnd w:id="4"/>
      <w:r>
        <w:rPr>
          <w:rFonts w:hint="eastAsia" w:ascii="仿宋" w:hAnsi="仿宋" w:eastAsia="仿宋" w:cs="仿宋"/>
          <w:color w:val="000000"/>
          <w:sz w:val="32"/>
          <w:szCs w:val="32"/>
        </w:rPr>
        <w:t>积极打造人工智能领域国家战略科技力量。申请发明专利193件，软件著作权77项。</w:t>
      </w:r>
    </w:p>
    <w:p w14:paraId="5F912898">
      <w:pPr>
        <w:pStyle w:val="3"/>
        <w:numPr>
          <w:ilvl w:val="0"/>
          <w:numId w:val="2"/>
        </w:numPr>
        <w:spacing w:before="0" w:after="0" w:line="560" w:lineRule="exact"/>
        <w:ind w:firstLine="643" w:firstLineChars="200"/>
        <w:rPr>
          <w:rFonts w:ascii="黑体" w:hAnsi="黑体" w:eastAsia="黑体" w:cs="黑体"/>
          <w:color w:val="000000"/>
          <w:sz w:val="32"/>
          <w:szCs w:val="32"/>
        </w:rPr>
      </w:pPr>
      <w:r>
        <w:rPr>
          <w:rFonts w:hint="eastAsia" w:ascii="黑体" w:hAnsi="黑体" w:eastAsia="黑体" w:cs="黑体"/>
          <w:color w:val="000000"/>
          <w:sz w:val="32"/>
          <w:szCs w:val="32"/>
        </w:rPr>
        <w:t>党的建设情况</w:t>
      </w:r>
    </w:p>
    <w:p w14:paraId="35A71A11">
      <w:pPr>
        <w:spacing w:line="560" w:lineRule="exact"/>
        <w:ind w:firstLine="600"/>
        <w:rPr>
          <w:rFonts w:hint="eastAsia" w:ascii="仿宋" w:hAnsi="仿宋" w:eastAsia="仿宋" w:cs="仿宋"/>
          <w:color w:val="000000"/>
          <w:sz w:val="32"/>
          <w:szCs w:val="32"/>
        </w:rPr>
      </w:pPr>
      <w:r>
        <w:rPr>
          <w:rFonts w:hint="eastAsia" w:ascii="仿宋" w:hAnsi="仿宋" w:eastAsia="仿宋" w:cs="仿宋"/>
          <w:color w:val="000000"/>
          <w:sz w:val="32"/>
          <w:szCs w:val="32"/>
        </w:rPr>
        <w:t>智源研究院党支部自成立以来，坚持以习近平新时代中国特色社会主义思想为指导，党建工作取得新成效。党支部探索出“党建红”引领“科技蓝”的工作法，将党员教育管理、组织生活和规范化建设作为支部工作的核心任务。通过制定“四张清单”，明确各级职责和工作流程，将党建任务量化、细化为具体指标，确保党员教育管理的有序推进。支部每月召开党小组会、支部委员会，每半年开展党建报告工作，年终进行党建述职，不断加强党员的政治素养和责任意识。</w:t>
      </w:r>
    </w:p>
    <w:p w14:paraId="17CE0169">
      <w:pPr>
        <w:spacing w:line="560" w:lineRule="exact"/>
        <w:ind w:firstLine="600"/>
        <w:rPr>
          <w:rFonts w:hint="eastAsia" w:ascii="仿宋" w:hAnsi="仿宋" w:eastAsia="仿宋" w:cs="仿宋"/>
          <w:color w:val="000000"/>
          <w:sz w:val="32"/>
          <w:szCs w:val="32"/>
        </w:rPr>
      </w:pPr>
      <w:r>
        <w:rPr>
          <w:rFonts w:hint="eastAsia" w:ascii="仿宋" w:hAnsi="仿宋" w:eastAsia="仿宋" w:cs="仿宋"/>
          <w:color w:val="000000"/>
          <w:sz w:val="32"/>
          <w:szCs w:val="32"/>
        </w:rPr>
        <w:t>在组织生活方面，支部定期开展党日活动、主题教育和志愿服务，并将党的理论学习与科研实践紧密结合，促进党员在科技创新中发挥先锋模范作用。通过规范组织生活制度，绘制支部工作流程图，确保组织生活严肃认真、规范高效。</w:t>
      </w:r>
    </w:p>
    <w:p w14:paraId="0C218D8B">
      <w:pPr>
        <w:spacing w:line="560" w:lineRule="exact"/>
        <w:ind w:firstLine="600"/>
        <w:rPr>
          <w:rFonts w:hint="eastAsia" w:ascii="仿宋" w:hAnsi="仿宋" w:eastAsia="仿宋" w:cs="仿宋"/>
          <w:color w:val="000000"/>
          <w:sz w:val="32"/>
          <w:szCs w:val="32"/>
        </w:rPr>
      </w:pPr>
      <w:r>
        <w:rPr>
          <w:rFonts w:hint="eastAsia" w:ascii="仿宋" w:hAnsi="仿宋" w:eastAsia="仿宋" w:cs="仿宋"/>
          <w:color w:val="000000"/>
          <w:sz w:val="32"/>
          <w:szCs w:val="32"/>
        </w:rPr>
        <w:t>在规范化建设方面，支部坚持以党章为根本遵循，编制党支部工作规范手册，建立完善的考核问责机制，将党建考核成绩作为综合考评的重要依据，不断提升党支部的组织力、凝聚力和战斗力，为实现党建与业务工作的同频共振、互利共赢提供了坚实保障。</w:t>
      </w:r>
    </w:p>
    <w:p w14:paraId="2D0130FF">
      <w:pPr>
        <w:pStyle w:val="3"/>
        <w:numPr>
          <w:ilvl w:val="0"/>
          <w:numId w:val="2"/>
        </w:numPr>
        <w:spacing w:before="0" w:after="0" w:line="560" w:lineRule="exact"/>
        <w:ind w:firstLine="643" w:firstLineChars="200"/>
        <w:rPr>
          <w:rFonts w:ascii="黑体" w:hAnsi="黑体" w:eastAsia="黑体" w:cs="黑体"/>
          <w:color w:val="000000"/>
          <w:sz w:val="32"/>
          <w:szCs w:val="32"/>
        </w:rPr>
      </w:pPr>
      <w:r>
        <w:rPr>
          <w:rFonts w:hint="eastAsia" w:ascii="黑体" w:hAnsi="黑体" w:eastAsia="黑体" w:cs="黑体"/>
          <w:color w:val="000000"/>
          <w:sz w:val="32"/>
          <w:szCs w:val="32"/>
        </w:rPr>
        <w:t>作用发挥情况</w:t>
      </w:r>
    </w:p>
    <w:p w14:paraId="145C659E">
      <w:pPr>
        <w:spacing w:line="560" w:lineRule="exact"/>
        <w:ind w:firstLine="640" w:firstLineChars="200"/>
        <w:rPr>
          <w:rFonts w:hint="eastAsia" w:ascii="仿宋" w:hAnsi="仿宋" w:eastAsia="仿宋" w:cs="仿宋"/>
          <w:color w:val="000000"/>
          <w:sz w:val="32"/>
          <w:szCs w:val="32"/>
        </w:rPr>
      </w:pPr>
      <w:bookmarkStart w:id="5" w:name="OLE_LINK65"/>
      <w:r>
        <w:rPr>
          <w:rFonts w:hint="eastAsia" w:ascii="仿宋" w:hAnsi="仿宋" w:eastAsia="仿宋" w:cs="仿宋"/>
          <w:color w:val="000000"/>
          <w:sz w:val="32"/>
          <w:szCs w:val="32"/>
        </w:rPr>
        <w:t>目前全球人工智能大模型进入产业化发展的新阶段，作为我国最早系统布局大模型研发的科研机构，智源研究院始终坚持推动中国大模型“从0到1”原始创新的定位，超前布局语言、多模态、具身等方向大模型前沿研究，持续构建涵盖基础软硬件生态、高质量中文语料库和模型评测平台的公共技术支撑体系，承担国家重大科研攻关任务，加快建设国家战略科技力量，在推动我国及北京市人工智能产业创新发展上持续发挥重要作用，在科研和生态建设等方面取得显著成效。</w:t>
      </w:r>
    </w:p>
    <w:p w14:paraId="1DF93526">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科研进展方面，已形成智源大模型“全家桶”，涵盖语言、多模态、具身智能、生物计算等领域，整体处于国际前沿水平，包括开源业界性能最强的中英文语义向量模型BGE系列，荣登国际大模型技术社区Hugging Face 2023年度所有发布模型的全球下载量冠军，该模型已被国内外各主流云服务和AI厂商普遍集成，形成了较高社会商业价值；发布全球首个原生多模态世界模型Emu3，探索了一条通向多模态通用人工智能（AGI）的可行技术路径；研发出SC-MLLM、ASGrasp、SAGE、Open6DOR等多项具身智能原创成果，在快慢双系统自我纠正、通用物体抓取、铰接物体操作、6-DoF取放等方面均处于国际领先水平；研发的全原子生物分子模型OpenComplex2，能有效预测生物分子结构，在全球持续蛋白质结构预测竞赛CAMEO上连续2年稳居赛道第一；构建了全球首个实时孪生心脏计算模型，已基于此模型与北京市多家重点医院围绕心脏研究和治疗开展初步合作探索。</w:t>
      </w:r>
    </w:p>
    <w:p w14:paraId="5133330C">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学术突破方面，2024年，智源研究院在Nature子刊、AAAI、CVPR、ACL、ICLR、NIPS等国际顶级会议期刊发表论文约110余篇。年度申请专利数44件，授权专利数24件。人才队伍建设方面，智源研究院持续引进和培养高层次创新型人才，截至目前，智源学者总体数量已超过111人，智源社区汇聚超过19万人工智能人才，链接海内外青年人工智能学者千余人。</w:t>
      </w:r>
    </w:p>
    <w:p w14:paraId="2032AF09">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平台及生态建设方面，迭代大模型开源系统FlagOpen至2.0阶段，累计开源数据集141个，下载量近63万次，开源项目代码下载量超121万次。发布面向大模型、支持多种异构算力的智算集群软件栈FlagOS，赋能创新企业发展。数据研究方面，智源研究院 Infinity-Instruct 数据集荣登 Hugging Face 2024年度最受欢迎数据集和引用贡献数据集。AI芯片生态体系建设方面，目前合作伙伴已涵盖主流大模型应用厂商、系统厂商、算子及框架厂商、标准制定合作单位、芯片厂商、开发者生态平台等。</w:t>
      </w:r>
    </w:p>
    <w:p w14:paraId="26888944">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成果转化及产业化应用方面，持续推动加快AI原创成果在京转化。目前，智源研究院已建设了20个创新中心，孵化加速了银河通用、脉冲视觉等10余家人工智能创新企业，为北京人工智能产业发展储备了后备力量。</w:t>
      </w:r>
    </w:p>
    <w:p w14:paraId="2ABD8F30">
      <w:pPr>
        <w:pStyle w:val="3"/>
        <w:numPr>
          <w:ilvl w:val="0"/>
          <w:numId w:val="2"/>
        </w:numPr>
        <w:spacing w:before="0" w:after="0" w:line="560" w:lineRule="exact"/>
        <w:ind w:firstLine="643" w:firstLineChars="200"/>
        <w:rPr>
          <w:rFonts w:ascii="黑体" w:hAnsi="黑体" w:eastAsia="黑体"/>
          <w:color w:val="000000"/>
          <w:sz w:val="32"/>
          <w:szCs w:val="32"/>
        </w:rPr>
      </w:pPr>
      <w:r>
        <w:rPr>
          <w:rFonts w:hint="eastAsia" w:ascii="黑体" w:hAnsi="黑体" w:eastAsia="黑体"/>
          <w:color w:val="000000"/>
          <w:sz w:val="32"/>
          <w:szCs w:val="32"/>
        </w:rPr>
        <w:t>治理机制建设及运作规范情况</w:t>
      </w:r>
    </w:p>
    <w:bookmarkEnd w:id="5"/>
    <w:p w14:paraId="2282AFF7">
      <w:pPr>
        <w:rPr>
          <w:rFonts w:hint="eastAsia" w:ascii="仿宋" w:hAnsi="仿宋" w:eastAsia="仿宋" w:cs="仿宋"/>
          <w:color w:val="000000"/>
          <w:sz w:val="32"/>
          <w:szCs w:val="32"/>
        </w:rPr>
      </w:pPr>
      <w:r>
        <w:rPr>
          <w:rFonts w:hint="eastAsia" w:ascii="仿宋" w:hAnsi="仿宋" w:eastAsia="仿宋" w:cs="仿宋"/>
          <w:color w:val="000000"/>
          <w:sz w:val="32"/>
          <w:szCs w:val="32"/>
        </w:rPr>
        <w:t>在完善优化治理和管理方面，持续建立健全内部控制体系，2024年智源研究院新增和修订制度15项，包括专利奖励办法、中央预算内投资补助项目管理办法等制度。形成涵盖科研管理、财务、人事、资产、采购等7大类87项的内部管理制度。</w:t>
      </w:r>
      <w:bookmarkStart w:id="6" w:name="OLE_LINK62"/>
      <w:r>
        <w:rPr>
          <w:rFonts w:hint="eastAsia" w:ascii="仿宋" w:hAnsi="仿宋" w:eastAsia="仿宋" w:cs="仿宋"/>
          <w:color w:val="000000"/>
          <w:sz w:val="32"/>
          <w:szCs w:val="32"/>
        </w:rPr>
        <w:t>构建高效反馈与沟通机制，2024年举办9期院长下午茶活动，</w:t>
      </w:r>
      <w:bookmarkStart w:id="7" w:name="OLE_LINK8"/>
      <w:r>
        <w:rPr>
          <w:rFonts w:hint="eastAsia" w:ascii="仿宋" w:hAnsi="仿宋" w:eastAsia="仿宋" w:cs="仿宋"/>
          <w:color w:val="000000"/>
          <w:sz w:val="32"/>
          <w:szCs w:val="32"/>
        </w:rPr>
        <w:t>聚焦前沿科技领域，深入分享智源研究院最新成果动态及行业趋势，共同探讨智源研究院文化核心价值观与行为准则，推动持续发展与创新。</w:t>
      </w:r>
      <w:bookmarkEnd w:id="6"/>
      <w:bookmarkEnd w:id="7"/>
    </w:p>
    <w:p w14:paraId="5199A9FD">
      <w:pPr>
        <w:adjustRightInd w:val="0"/>
        <w:snapToGrid w:val="0"/>
        <w:spacing w:line="560" w:lineRule="exact"/>
        <w:jc w:val="center"/>
        <w:rPr>
          <w:rFonts w:ascii="方正小标宋简体" w:hAnsi="方正小标宋简体" w:eastAsia="方正小标宋简体" w:cs="方正小标宋简体"/>
          <w:color w:val="000000"/>
          <w:sz w:val="44"/>
          <w:szCs w:val="44"/>
        </w:rPr>
      </w:pPr>
    </w:p>
    <w:p w14:paraId="1DB067AB">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三大赋能构建公益养联体</w:t>
      </w:r>
    </w:p>
    <w:p w14:paraId="7D5060D5">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助力养老事业创新发展</w:t>
      </w:r>
    </w:p>
    <w:p w14:paraId="21136F8C">
      <w:pPr>
        <w:adjustRightInd w:val="0"/>
        <w:snapToGrid w:val="0"/>
        <w:spacing w:line="560" w:lineRule="exact"/>
        <w:jc w:val="center"/>
        <w:rPr>
          <w:rFonts w:hint="eastAsia" w:ascii="楷体_GB2312" w:eastAsia="楷体_GB2312"/>
          <w:sz w:val="32"/>
          <w:szCs w:val="32"/>
        </w:rPr>
      </w:pPr>
      <w:r>
        <w:rPr>
          <w:rFonts w:hint="eastAsia" w:ascii="楷体_GB2312" w:eastAsia="楷体_GB2312"/>
          <w:sz w:val="32"/>
          <w:szCs w:val="32"/>
        </w:rPr>
        <w:t>——北京泰康溢彩公益基金会先进事迹材料</w:t>
      </w:r>
    </w:p>
    <w:p w14:paraId="67B5C425">
      <w:pPr>
        <w:adjustRightInd w:val="0"/>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北京泰康溢彩公益基金会2018年11月在北京市民政局登记成立，业务主管单位为北京市民政局，2021年获评为5A级社会组织。</w:t>
      </w:r>
    </w:p>
    <w:p w14:paraId="51FEF746">
      <w:pPr>
        <w:adjustRightInd w:val="0"/>
        <w:snapToGrid w:val="0"/>
        <w:spacing w:line="560" w:lineRule="exact"/>
        <w:ind w:firstLine="640"/>
        <w:rPr>
          <w:rFonts w:ascii="黑体" w:hAnsi="黑体" w:eastAsia="黑体" w:cs="黑体"/>
          <w:color w:val="000000"/>
          <w:sz w:val="32"/>
          <w:szCs w:val="32"/>
        </w:rPr>
      </w:pPr>
      <w:r>
        <w:rPr>
          <w:rFonts w:hint="eastAsia" w:ascii="仿宋" w:hAnsi="仿宋" w:eastAsia="仿宋" w:cs="仿宋"/>
          <w:color w:val="000000"/>
          <w:sz w:val="32"/>
          <w:szCs w:val="32"/>
        </w:rPr>
        <w:t>基金会以“关爱生命、造福民生”为宗旨，聚焦普惠养老，通过溢彩千家、溢彩培训和溢彩星光等公益助老项目，赋能养老机构、养老从业人员和养老社会组织，构建“公益养联体”，助力中国养老生态建设和行业创新，帮助更多老年人享有健康美好的生活。同时，紧密围绕国家重大战略，依托泰康大健康生态体系，充分发挥在资源连接、创新孵化、社会倡导等方面的作用，支持助学、公共卫生、乡村振兴、灾害救助等领域的公益项目，以长期主义理念助力公益慈善事业发展。</w:t>
      </w:r>
    </w:p>
    <w:p w14:paraId="276CFD75">
      <w:pPr>
        <w:numPr>
          <w:ilvl w:val="0"/>
          <w:numId w:val="3"/>
        </w:num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sz w:val="32"/>
          <w:szCs w:val="32"/>
        </w:rPr>
        <w:t>党建引领业务发展，公益之路行稳致远</w:t>
      </w:r>
    </w:p>
    <w:p w14:paraId="76107BB9">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基金会坚持党建引领，充分发挥党组织的政治核心与战斗堡垒作用和党员先锋模范作用，将“坚持党的全面领导”写入章程。在历次理事会中，全体党员均列席参加，支部定期组织党员开展组织生活，把党员学习教育列入重要事项，融入日常工作中，积极参加联合党委组织的各种党建活动，党组织在基金会工作中发挥了积极作用。2022年筹建了党建活动新基地，将基地打造成为党员教育培训中心、文化宣传中心等。</w:t>
      </w:r>
    </w:p>
    <w:p w14:paraId="1E33BCBE">
      <w:pPr>
        <w:pStyle w:val="10"/>
        <w:spacing w:line="560" w:lineRule="exact"/>
        <w:ind w:firstLine="640"/>
        <w:rPr>
          <w:rFonts w:ascii="黑体" w:hAnsi="黑体" w:eastAsia="黑体" w:cs="黑体"/>
          <w:color w:val="000000"/>
          <w:szCs w:val="32"/>
        </w:rPr>
      </w:pPr>
      <w:r>
        <w:rPr>
          <w:rFonts w:hint="eastAsia" w:ascii="仿宋" w:hAnsi="仿宋" w:eastAsia="仿宋" w:cs="仿宋"/>
          <w:color w:val="000000"/>
          <w:szCs w:val="32"/>
        </w:rPr>
        <w:t>应对老龄化已上升为国家战略，我国养老服务急需提质增效，满足老年群体多元化的需求。基金会以公益力量应对老龄化挑战，既有面向养老机构的赋能型资助，也有面向社区居家养老的创新探索型项目，解决老人急难愁盼的问题。同时基金会在助学、公共卫生、乡村振兴等领域，形成了日趋丰富和完善的项目体系，惠及人群广泛。基金会坚持党建工作和业务工作目标同向、部署同步，以高质量党建引领项目高质量发展。</w:t>
      </w:r>
    </w:p>
    <w:p w14:paraId="44B90B8C">
      <w:pPr>
        <w:pStyle w:val="10"/>
        <w:spacing w:line="560" w:lineRule="exact"/>
        <w:ind w:firstLine="640"/>
        <w:rPr>
          <w:rFonts w:hint="eastAsia" w:ascii="楷体_GB2312" w:eastAsia="楷体_GB2312"/>
          <w:szCs w:val="32"/>
        </w:rPr>
      </w:pPr>
      <w:r>
        <w:rPr>
          <w:rFonts w:hint="eastAsia" w:ascii="楷体_GB2312" w:eastAsia="楷体_GB2312"/>
          <w:szCs w:val="32"/>
        </w:rPr>
        <w:t>（一）溢彩助老</w:t>
      </w:r>
    </w:p>
    <w:p w14:paraId="76979D6C">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溢彩千家”通过资助适老康复设备、支持信息化建设，多维赋能养老机构发展，提升老人的生活质量。成立至今，累计纳入资助养老机构432家，实现全国31个省（自治区、直辖市）全覆盖，捐助适老康复设备超3.4万件，累计培训养老从业人员近9.1万人次。</w:t>
      </w:r>
    </w:p>
    <w:p w14:paraId="6AF57145">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2021年，基金会将“溢彩千家”项目资助从机构拓展到社区，发起单位社区智慧养联体项目。截至2024年底，已落地北航社区、金台社区、北京师范大学社区、湖南师范大学社区4家，链接超80家服务商，为有需求的老人供需对接超3000人次，超1.5万老人受益。</w:t>
      </w:r>
    </w:p>
    <w:p w14:paraId="6B9C9549">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“溢彩培训”聚焦养老产业中的“人”，通过研发教材和课程，线上线下培训的有机结合，探索出了一条养老培训的专业化赋能之路，累计培训10.4万人次。</w:t>
      </w:r>
    </w:p>
    <w:p w14:paraId="72317F7F">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溢彩星光”通过支持社会组织开展社区助老服务，打造政府提供政策指导、基金会提供资助、支持平台提供专业支持、社会服务机构专注于社区助老行动的公益新生态模式。自2021年以来，支持34家社会组织，服务长者超50000人次。</w:t>
      </w:r>
    </w:p>
    <w:p w14:paraId="0E248350">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推动“养老+公益”深度融合，与北京市民政局、上海市民政局、广东省民政厅共同探索适合民情、市情的大城市养老服务体系构建之路。</w:t>
      </w:r>
    </w:p>
    <w:p w14:paraId="1827AECC">
      <w:pPr>
        <w:pStyle w:val="11"/>
        <w:spacing w:after="0" w:line="560" w:lineRule="exact"/>
        <w:ind w:firstLine="640" w:firstLineChars="200"/>
        <w:rPr>
          <w:rFonts w:hint="eastAsia" w:ascii="楷体_GB2312" w:hAnsi="Times New Roman" w:eastAsia="楷体_GB2312"/>
          <w:kern w:val="2"/>
          <w:sz w:val="32"/>
          <w:szCs w:val="32"/>
        </w:rPr>
      </w:pPr>
      <w:r>
        <w:rPr>
          <w:rFonts w:hint="eastAsia" w:ascii="楷体_GB2312" w:hAnsi="Times New Roman" w:eastAsia="楷体_GB2312"/>
          <w:kern w:val="2"/>
          <w:sz w:val="32"/>
          <w:szCs w:val="32"/>
        </w:rPr>
        <w:t>（二）溢彩助学</w:t>
      </w:r>
    </w:p>
    <w:p w14:paraId="2E980519">
      <w:pPr>
        <w:pStyle w:val="11"/>
        <w:spacing w:after="0"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基金会持续关注青少年成长教育，通过泰康企业/个人捐赠，资助乡村困难学生，助力改善他们的成长环境。发起“小手拉小手</w:t>
      </w:r>
      <w:r>
        <w:rPr>
          <w:rFonts w:ascii="仿宋" w:hAnsi="仿宋" w:eastAsia="仿宋" w:cs="仿宋"/>
          <w:color w:val="000000"/>
          <w:kern w:val="2"/>
          <w:sz w:val="32"/>
          <w:szCs w:val="32"/>
        </w:rPr>
        <w:t>”</w:t>
      </w:r>
      <w:r>
        <w:rPr>
          <w:rFonts w:hint="eastAsia" w:ascii="仿宋" w:hAnsi="仿宋" w:eastAsia="仿宋" w:cs="仿宋"/>
          <w:color w:val="000000"/>
          <w:kern w:val="2"/>
          <w:sz w:val="32"/>
          <w:szCs w:val="32"/>
        </w:rPr>
        <w:t>公益计划，携手星能公益基金会开展“星能冠军助学项目”，支持PEER毅恒挚友发起“溢彩挚友县镇中学生成长陪伴计划”，开展内蒙古乌兰察布凉城县困难学生捐助项目，支持乡镇中小学及特殊教育学校的健康教室设备设施等。</w:t>
      </w:r>
    </w:p>
    <w:p w14:paraId="09BBB0EA">
      <w:pPr>
        <w:pStyle w:val="11"/>
        <w:spacing w:after="0" w:line="560" w:lineRule="exact"/>
        <w:ind w:firstLine="640" w:firstLineChars="200"/>
        <w:rPr>
          <w:rFonts w:hint="eastAsia" w:ascii="楷体_GB2312" w:hAnsi="Times New Roman" w:eastAsia="楷体_GB2312"/>
          <w:kern w:val="2"/>
          <w:sz w:val="32"/>
          <w:szCs w:val="32"/>
        </w:rPr>
      </w:pPr>
      <w:r>
        <w:rPr>
          <w:rFonts w:hint="eastAsia" w:ascii="楷体_GB2312" w:hAnsi="Times New Roman" w:eastAsia="楷体_GB2312"/>
          <w:kern w:val="2"/>
          <w:sz w:val="32"/>
          <w:szCs w:val="32"/>
        </w:rPr>
        <w:t>（三）乡村振兴</w:t>
      </w:r>
    </w:p>
    <w:p w14:paraId="1C459820">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积极响应民政部和国家乡村振兴局的号召，开展乡村振兴类项目覆盖23个国家重点帮扶县。2024年，基金会联合中国乡村发展基金会发起“溢彩焕然乡村发展计划”，重点围绕乡村助老、乡村教育、乡村健康、乡村建设等方向开展项目，打造乡村振兴公益品牌。</w:t>
      </w:r>
    </w:p>
    <w:p w14:paraId="36C650F3">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基金会将乡村振兴与助老业务有机结合，“溢彩千家”项目资助的县镇级机构占比38.2%。2023年6月，基金会与6省10县建立结对关系，落地“溢彩千家”项目，还联合中华社会救助 基金会落地“一根拐杖防跌倒”项目，提高当地养老服务水平与老人的生活质量。</w:t>
      </w:r>
    </w:p>
    <w:p w14:paraId="11888CB6">
      <w:pPr>
        <w:pStyle w:val="11"/>
        <w:spacing w:after="0" w:line="560" w:lineRule="exact"/>
        <w:ind w:firstLine="640" w:firstLineChars="200"/>
        <w:rPr>
          <w:rFonts w:hint="eastAsia" w:ascii="楷体_GB2312" w:hAnsi="Times New Roman" w:eastAsia="楷体_GB2312"/>
          <w:kern w:val="2"/>
          <w:sz w:val="32"/>
          <w:szCs w:val="32"/>
        </w:rPr>
      </w:pPr>
      <w:r>
        <w:rPr>
          <w:rFonts w:hint="eastAsia" w:ascii="楷体_GB2312" w:hAnsi="Times New Roman" w:eastAsia="楷体_GB2312"/>
          <w:kern w:val="2"/>
          <w:sz w:val="32"/>
          <w:szCs w:val="32"/>
        </w:rPr>
        <w:t>（四）灾害救助</w:t>
      </w:r>
    </w:p>
    <w:p w14:paraId="2FBD8601">
      <w:pPr>
        <w:pStyle w:val="10"/>
        <w:spacing w:line="560" w:lineRule="exact"/>
        <w:ind w:firstLine="640"/>
        <w:rPr>
          <w:rFonts w:hint="eastAsia" w:ascii="仿宋" w:hAnsi="仿宋" w:eastAsia="仿宋" w:cs="仿宋"/>
          <w:color w:val="000000"/>
          <w:szCs w:val="32"/>
        </w:rPr>
      </w:pPr>
      <w:r>
        <w:rPr>
          <w:rFonts w:hint="eastAsia" w:ascii="仿宋" w:hAnsi="仿宋" w:eastAsia="仿宋" w:cs="仿宋"/>
          <w:color w:val="000000"/>
          <w:szCs w:val="32"/>
        </w:rPr>
        <w:t>面对全国范围内的突发重大灾害，基金会第一时间关注救助需求，实施开展应急救助工作。捐赠资金和物资驰援河南特大暴雨、四川地震、甘肃抗震、京冀防汛、日喀则地震。</w:t>
      </w:r>
    </w:p>
    <w:p w14:paraId="0F5A2F26">
      <w:pPr>
        <w:pStyle w:val="11"/>
        <w:spacing w:after="0" w:line="560" w:lineRule="exact"/>
        <w:ind w:firstLine="640" w:firstLineChars="200"/>
        <w:rPr>
          <w:rFonts w:hint="eastAsia" w:ascii="楷体_GB2312" w:hAnsi="Times New Roman" w:eastAsia="楷体_GB2312"/>
          <w:kern w:val="2"/>
          <w:sz w:val="32"/>
          <w:szCs w:val="32"/>
        </w:rPr>
      </w:pPr>
      <w:r>
        <w:rPr>
          <w:rFonts w:hint="eastAsia" w:ascii="楷体_GB2312" w:hAnsi="Times New Roman" w:eastAsia="楷体_GB2312"/>
          <w:kern w:val="2"/>
          <w:sz w:val="32"/>
          <w:szCs w:val="32"/>
        </w:rPr>
        <w:t>（五）专项基金</w:t>
      </w:r>
    </w:p>
    <w:p w14:paraId="060F43EA">
      <w:pPr>
        <w:pStyle w:val="11"/>
        <w:spacing w:after="0" w:line="560" w:lineRule="exact"/>
        <w:ind w:firstLine="640" w:firstLineChars="200"/>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专项基金管理规范，运作良好，溢彩公卫专项基金、泰康之家专项基金、HWP俱乐部专项基金等在公共卫生、老年社会参与、乡村助老等领域开展项目，惠及广泛人群。</w:t>
      </w:r>
    </w:p>
    <w:p w14:paraId="4098536C">
      <w:pPr>
        <w:numPr>
          <w:ilvl w:val="0"/>
          <w:numId w:val="3"/>
        </w:num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内部治理规范，财务管理透明</w:t>
      </w:r>
    </w:p>
    <w:p w14:paraId="10AD6700">
      <w:pPr>
        <w:pStyle w:val="11"/>
        <w:spacing w:after="0" w:line="560" w:lineRule="exact"/>
        <w:ind w:firstLine="640" w:firstLineChars="200"/>
        <w:rPr>
          <w:rFonts w:ascii="楷体_GB2312" w:hAnsi="Times New Roman" w:eastAsia="楷体_GB2312"/>
          <w:kern w:val="2"/>
          <w:sz w:val="32"/>
          <w:szCs w:val="32"/>
        </w:rPr>
      </w:pPr>
      <w:r>
        <w:rPr>
          <w:rFonts w:hint="eastAsia" w:ascii="楷体_GB2312" w:hAnsi="Times New Roman" w:eastAsia="楷体_GB2312"/>
          <w:kern w:val="2"/>
          <w:sz w:val="32"/>
          <w:szCs w:val="32"/>
        </w:rPr>
        <w:t>（一）制度为纲，权责为锚，内部治理规范高效</w:t>
      </w:r>
    </w:p>
    <w:p w14:paraId="27CFE8C3">
      <w:pPr>
        <w:adjustRightInd w:val="0"/>
        <w:snapToGrid w:val="0"/>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基金会注重机构自身建设及内部治理，理事会、秘书处、监事权责清晰，形成“决策、执行、监督”的工作机制。秘书处下设项目部、财务部和综合管理部，工作人员9人，具有公益管理、经济金融、会计、新闻传播、市场营销等专业背景。基金会以高度的合规意识，建立健全各项管理制度近30项，严格按照规定开展年检年报、重大事项报告、章程备案、信息公开等工作，主动接受主管部门和社会公众监督，打造诚信自律、公开透明的形象。</w:t>
      </w:r>
    </w:p>
    <w:p w14:paraId="28E22352">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基金会倡导志愿文化，推动志愿服务的专业化和规范化,溢彩志愿者队伍不断发展壮大，溢彩助老志愿服务项目入选“2021北京市社会建设和民生保障领域志愿服务项目50佳”。连续三年举办溢彩公益节，增强养老与公益领域的政企学研交流，表彰公益榜样，倡导积极老龄观及公益文化。发布关于养老机构发展、养老从业人员、养老社会组织研究报告，引起社会对养老行业的关注和支持。</w:t>
      </w:r>
    </w:p>
    <w:p w14:paraId="0C32C3D9">
      <w:pPr>
        <w:adjustRightInd w:val="0"/>
        <w:snapToGrid w:val="0"/>
        <w:spacing w:line="560" w:lineRule="exact"/>
        <w:ind w:firstLine="640" w:firstLineChars="200"/>
        <w:rPr>
          <w:rFonts w:ascii="仿宋" w:hAnsi="仿宋" w:eastAsia="仿宋" w:cs="仿宋"/>
          <w:color w:val="000000"/>
          <w:sz w:val="32"/>
          <w:szCs w:val="32"/>
        </w:rPr>
      </w:pPr>
      <w:r>
        <w:rPr>
          <w:rFonts w:hint="eastAsia" w:ascii="楷体_GB2312" w:eastAsia="楷体_GB2312"/>
          <w:sz w:val="32"/>
          <w:szCs w:val="32"/>
        </w:rPr>
        <w:t>（二）财务管理公开透明，项目流、资金流、数据流“三流合一”</w:t>
      </w:r>
    </w:p>
    <w:p w14:paraId="1C16BAF5">
      <w:pPr>
        <w:pStyle w:val="11"/>
        <w:spacing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基金会严格按照法律法规及财务管理制度管理慈善资产，定期监控与反馈慈善活动支出和管理费用的列支比例（自成立以来，两项支出比例均符合规定要求）。制定《关联交易管理办法》，让所有员工熟知关联交易的相关规定。定期向理事会、监管机关报备财务报告，依法披露财务会计报告和审计报告，接受社会公众监督。基金会建立了以资金流为主线的财务综合管理平台，实现资金流、捐赠信息流与管理信息流的整合统一，实现善款“收、管、支、结”的完整闭环管理。</w:t>
      </w:r>
    </w:p>
    <w:p w14:paraId="790D8567">
      <w:pPr>
        <w:rPr>
          <w:rFonts w:hint="eastAsia"/>
          <w:lang w:eastAsia="zh-CN"/>
        </w:rPr>
      </w:pPr>
    </w:p>
    <w:p w14:paraId="0CFBD7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方正公文小标宋" w:hAnsi="方正公文小标宋" w:eastAsia="方正公文小标宋" w:cs="方正公文小标宋"/>
          <w:sz w:val="44"/>
          <w:szCs w:val="44"/>
          <w:lang w:val="en-US" w:eastAsia="zh-CN"/>
        </w:rPr>
        <w:t>党建领航筑根基  多维实践展担当</w:t>
      </w:r>
    </w:p>
    <w:p w14:paraId="40838B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——北京市石景山区环山新视野社会工作事务所</w:t>
      </w:r>
    </w:p>
    <w:p w14:paraId="4F24F0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先进事迹材料</w:t>
      </w:r>
      <w:r>
        <w:rPr>
          <w:rFonts w:hint="eastAsia" w:ascii="仿宋_GB2312" w:hAnsi="仿宋_GB2312" w:eastAsia="仿宋_GB2312" w:cs="仿宋_GB2312"/>
          <w:sz w:val="32"/>
          <w:szCs w:val="32"/>
          <w:lang w:val="en-US" w:eastAsia="zh-CN"/>
        </w:rPr>
        <w:t xml:space="preserve"> </w:t>
      </w:r>
    </w:p>
    <w:p w14:paraId="083E07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sz w:val="32"/>
          <w:szCs w:val="32"/>
          <w:lang w:val="en-US" w:eastAsia="zh-CN"/>
        </w:rPr>
        <w:t>北京市石景山区环山新视野社会工作事务所成立以来，始终坚持以习近平新时代中国特色社会主义思想铸魂领航，围绕“培根铸魂抓党建、守正创新强支部、培育品牌树形象、扎根基层谋发展”的工作思路，着力在锤炼品格中强化忠诚，在凝心铸魂中筑牢根本，在实干担当中促进发展，在践行文明中传播文化，在以学促干中锤炼本领，在志愿服务中践行文明，有效发挥了党支部战斗堡垒和社会组织作用，努力为首都城市西大门和社会建设发展贡献力量。</w:t>
      </w:r>
    </w:p>
    <w:p w14:paraId="1636D8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一、淬炼党宣“先锋队”，激活红色基因“动力源”。</w:t>
      </w:r>
      <w:r>
        <w:rPr>
          <w:rFonts w:hint="eastAsia" w:ascii="仿宋" w:hAnsi="仿宋" w:eastAsia="仿宋" w:cs="仿宋"/>
          <w:sz w:val="32"/>
          <w:szCs w:val="32"/>
          <w:lang w:val="en-US" w:eastAsia="zh-CN"/>
        </w:rPr>
        <w:t>全方位强化党宣工作实效，让红色精神在基层焕发时代光彩。在理论学习层面，构建“学研践悟”一体化体系，创新“集中研讨+自主研习”“实地研学+专家指导”等学习模式。通过思维碰撞深化认知、现场教学强化领悟，推动党员干部深入感悟红色精神内核，切实筑牢信仰之基、补足精神之钙，让红色基因融入血脉。在资源整合与传播方式上，充分发挥自身组建的“党宣队伍”聚合效应，邀请战斗英雄、奥运冠军、青年榜样、道德模范、中国好人、退伍老兵等各类典型，深入机关、街道、社区，以专题授课、政策解读、百姓宣讲、展览展示等多元形式，用“身边事”讲述红色故事，以“家常话”传递红色力量。开展“学思想，党员讲”活动，组织党员群众走进李大钊烈士陵园、中国共产党历史展览馆开展沉浸式主题党日，在红色圣地中追寻革命足迹、传承红色基因、锤炼党性修养。</w:t>
      </w:r>
    </w:p>
    <w:p w14:paraId="5A0969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二、建强智库“智囊团”，打造思想传播“新高地”。</w:t>
      </w:r>
      <w:r>
        <w:rPr>
          <w:rFonts w:hint="eastAsia" w:ascii="仿宋" w:hAnsi="仿宋" w:eastAsia="仿宋" w:cs="仿宋"/>
          <w:sz w:val="32"/>
          <w:szCs w:val="32"/>
          <w:lang w:val="en-US" w:eastAsia="zh-CN"/>
        </w:rPr>
        <w:t>深耕理论传播，激活实践创新。充分发挥自身组建的“智库队伍”优势，联动中央党校、清华大学等</w:t>
      </w:r>
      <w:r>
        <w:rPr>
          <w:rFonts w:hint="default" w:ascii="Times New Roman" w:hAnsi="Times New Roman" w:eastAsia="仿宋" w:cs="Times New Roman"/>
          <w:sz w:val="32"/>
          <w:szCs w:val="32"/>
          <w:lang w:val="en-US" w:eastAsia="zh-CN"/>
        </w:rPr>
        <w:t>30</w:t>
      </w:r>
      <w:r>
        <w:rPr>
          <w:rFonts w:hint="eastAsia" w:ascii="仿宋" w:hAnsi="仿宋" w:eastAsia="仿宋" w:cs="仿宋"/>
          <w:sz w:val="32"/>
          <w:szCs w:val="32"/>
          <w:lang w:val="en-US" w:eastAsia="zh-CN"/>
        </w:rPr>
        <w:t>余家权威机构和高校，构建跨领域理论传播矩阵。创新“请进来辅导、走进去解读”双向机制，邀请</w:t>
      </w:r>
      <w:r>
        <w:rPr>
          <w:rFonts w:hint="eastAsia" w:ascii="Times New Roman" w:hAnsi="Times New Roman" w:eastAsia="仿宋" w:cs="Times New Roman"/>
          <w:sz w:val="32"/>
          <w:szCs w:val="32"/>
          <w:lang w:val="en-US" w:eastAsia="zh-CN"/>
        </w:rPr>
        <w:t>150</w:t>
      </w:r>
      <w:r>
        <w:rPr>
          <w:rFonts w:hint="eastAsia" w:ascii="仿宋" w:hAnsi="仿宋" w:eastAsia="仿宋" w:cs="仿宋"/>
          <w:sz w:val="32"/>
          <w:szCs w:val="32"/>
          <w:lang w:val="en-US" w:eastAsia="zh-CN"/>
        </w:rPr>
        <w:t>余名专家教授走进</w:t>
      </w:r>
      <w:r>
        <w:rPr>
          <w:rFonts w:hint="eastAsia" w:ascii="Times New Roman" w:hAnsi="Times New Roman" w:eastAsia="仿宋" w:cs="Times New Roman"/>
          <w:sz w:val="32"/>
          <w:szCs w:val="32"/>
          <w:lang w:val="en-US" w:eastAsia="zh-CN"/>
        </w:rPr>
        <w:t>150</w:t>
      </w:r>
      <w:r>
        <w:rPr>
          <w:rFonts w:hint="eastAsia" w:ascii="仿宋" w:hAnsi="仿宋" w:eastAsia="仿宋" w:cs="仿宋"/>
          <w:sz w:val="32"/>
          <w:szCs w:val="32"/>
          <w:lang w:val="en-US" w:eastAsia="zh-CN"/>
        </w:rPr>
        <w:t>余家企业、楼宇开展习近平新时代中国特色社会主义思想、“四史”教育进基层专题辅导，覆盖人群超1万人次，让党的创新理论“飞入寻常百姓家”。在国防教育领域，联合国防大学、军事科学院，将“沉浸式国防教育课堂”引入全区</w:t>
      </w:r>
      <w:r>
        <w:rPr>
          <w:rFonts w:hint="eastAsia" w:ascii="Times New Roman" w:hAnsi="Times New Roman" w:eastAsia="仿宋" w:cs="Times New Roman"/>
          <w:sz w:val="32"/>
          <w:szCs w:val="32"/>
          <w:lang w:val="en-US" w:eastAsia="zh-CN"/>
        </w:rPr>
        <w:t>52</w:t>
      </w:r>
      <w:r>
        <w:rPr>
          <w:rFonts w:hint="eastAsia" w:ascii="仿宋" w:hAnsi="仿宋" w:eastAsia="仿宋" w:cs="仿宋"/>
          <w:sz w:val="32"/>
          <w:szCs w:val="32"/>
          <w:lang w:val="en-US" w:eastAsia="zh-CN"/>
        </w:rPr>
        <w:t>所中小学，通过VR模拟战场体验、军事装备模型制作等互动教学，厚植青少年爱国情怀。依托园区党群服务中心与区委组织部挂牌授牌的“石景山区基层党组织书记陈涛工作室”，创新“联学、联建、联动”模式，举办“党建引领产业发展”圆桌会议、“新质生产力培育”社会组织论坛等活动</w:t>
      </w:r>
      <w:r>
        <w:rPr>
          <w:rFonts w:hint="eastAsia" w:ascii="Times New Roman" w:hAnsi="Times New Roman" w:eastAsia="仿宋" w:cs="Times New Roman"/>
          <w:sz w:val="32"/>
          <w:szCs w:val="32"/>
          <w:lang w:val="en-US" w:eastAsia="zh-CN"/>
        </w:rPr>
        <w:t>30</w:t>
      </w:r>
      <w:r>
        <w:rPr>
          <w:rFonts w:hint="eastAsia" w:ascii="仿宋" w:hAnsi="仿宋" w:eastAsia="仿宋" w:cs="仿宋"/>
          <w:sz w:val="32"/>
          <w:szCs w:val="32"/>
          <w:lang w:val="en-US" w:eastAsia="zh-CN"/>
        </w:rPr>
        <w:t xml:space="preserve">余场，推动党建与产业深度融合，形成理论武装与实践创新同频共振的生动局面。 </w:t>
      </w:r>
    </w:p>
    <w:p w14:paraId="50C4F0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三、锻造艺术“轻骑兵”，架起文化惠民“连心桥”。</w:t>
      </w:r>
      <w:r>
        <w:rPr>
          <w:rFonts w:hint="eastAsia" w:ascii="仿宋" w:hAnsi="仿宋" w:eastAsia="仿宋" w:cs="仿宋"/>
          <w:sz w:val="32"/>
          <w:szCs w:val="32"/>
          <w:lang w:val="en-US" w:eastAsia="zh-CN"/>
        </w:rPr>
        <w:t>立足群众文化需求，打造常态化服务机制。每周四定期开展书法国画和非遗文化公益培训，累计培训学员</w:t>
      </w:r>
      <w:r>
        <w:rPr>
          <w:rFonts w:hint="eastAsia" w:ascii="Times New Roman" w:hAnsi="Times New Roman" w:eastAsia="仿宋" w:cs="Times New Roman"/>
          <w:sz w:val="32"/>
          <w:szCs w:val="32"/>
          <w:lang w:val="en-US" w:eastAsia="zh-CN"/>
        </w:rPr>
        <w:t>800</w:t>
      </w:r>
      <w:r>
        <w:rPr>
          <w:rFonts w:hint="eastAsia" w:ascii="仿宋" w:hAnsi="仿宋" w:eastAsia="仿宋" w:cs="仿宋"/>
          <w:sz w:val="32"/>
          <w:szCs w:val="32"/>
          <w:lang w:val="en-US" w:eastAsia="zh-CN"/>
        </w:rPr>
        <w:t>余人次。策划“翰墨润初心”书画摄影作品展，创新推出“锦绣石景山”沙画视频展播，在新媒体平台实现</w:t>
      </w:r>
      <w:r>
        <w:rPr>
          <w:rFonts w:hint="eastAsia" w:ascii="Times New Roman" w:hAnsi="Times New Roman" w:eastAsia="仿宋" w:cs="Times New Roman"/>
          <w:sz w:val="32"/>
          <w:szCs w:val="32"/>
          <w:lang w:val="en-US" w:eastAsia="zh-CN"/>
        </w:rPr>
        <w:t>2.2</w:t>
      </w:r>
      <w:r>
        <w:rPr>
          <w:rFonts w:hint="eastAsia" w:ascii="仿宋" w:hAnsi="仿宋" w:eastAsia="仿宋" w:cs="仿宋"/>
          <w:sz w:val="32"/>
          <w:szCs w:val="32"/>
          <w:lang w:val="en-US" w:eastAsia="zh-CN"/>
        </w:rPr>
        <w:t>万次播放、</w:t>
      </w:r>
      <w:r>
        <w:rPr>
          <w:rFonts w:hint="eastAsia" w:ascii="Times New Roman" w:hAnsi="Times New Roman" w:eastAsia="仿宋" w:cs="Times New Roman"/>
          <w:sz w:val="32"/>
          <w:szCs w:val="32"/>
          <w:lang w:val="en-US" w:eastAsia="zh-CN"/>
        </w:rPr>
        <w:t>8.5</w:t>
      </w:r>
      <w:r>
        <w:rPr>
          <w:rFonts w:hint="eastAsia" w:ascii="仿宋" w:hAnsi="仿宋" w:eastAsia="仿宋" w:cs="仿宋"/>
          <w:sz w:val="32"/>
          <w:szCs w:val="32"/>
          <w:lang w:val="en-US" w:eastAsia="zh-CN"/>
        </w:rPr>
        <w:t>万次点赞。打造“经典与你我同行”文化品牌，邀请知名学者开展国学讲座</w:t>
      </w:r>
      <w:r>
        <w:rPr>
          <w:rFonts w:hint="eastAsia"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余场次</w:t>
      </w:r>
      <w:r>
        <w:rPr>
          <w:rFonts w:hint="eastAsia" w:ascii="仿宋_GB2312" w:hAnsi="仿宋_GB2312" w:eastAsia="仿宋_GB2312" w:cs="仿宋_GB2312"/>
          <w:b w:val="0"/>
          <w:bCs w:val="0"/>
          <w:sz w:val="32"/>
          <w:szCs w:val="32"/>
          <w:lang w:val="en-US" w:eastAsia="zh-CN"/>
        </w:rPr>
        <w:t>，</w:t>
      </w:r>
      <w:r>
        <w:rPr>
          <w:rFonts w:hint="eastAsia" w:ascii="仿宋" w:hAnsi="仿宋" w:eastAsia="仿宋" w:cs="仿宋"/>
          <w:sz w:val="32"/>
          <w:szCs w:val="32"/>
          <w:lang w:val="en-US" w:eastAsia="zh-CN"/>
        </w:rPr>
        <w:t>惠及群众</w:t>
      </w:r>
      <w:r>
        <w:rPr>
          <w:rFonts w:hint="eastAsia" w:ascii="Times New Roman" w:hAnsi="Times New Roman" w:eastAsia="仿宋" w:cs="Times New Roman"/>
          <w:sz w:val="32"/>
          <w:szCs w:val="32"/>
          <w:lang w:val="en-US" w:eastAsia="zh-CN"/>
        </w:rPr>
        <w:t>5000</w:t>
      </w:r>
      <w:r>
        <w:rPr>
          <w:rFonts w:hint="eastAsia" w:ascii="仿宋" w:hAnsi="仿宋" w:eastAsia="仿宋" w:cs="仿宋"/>
          <w:sz w:val="32"/>
          <w:szCs w:val="32"/>
          <w:lang w:val="en-US" w:eastAsia="zh-CN"/>
        </w:rPr>
        <w:t xml:space="preserve">余人。围绕重大主题，开展“铭记伟大变革”沉浸式研学活动，组织群众走进明清档案展、红色经典诵读会等现场教学项目。在烈士纪念日等重要节点，举办敬献花篮、事迹宣讲等活动，厚植家国情怀。通过文化赋能，有力推动红色文化与社会组织深度融合，让文化力量成为社会创新发展的强劲动力。 </w:t>
      </w:r>
    </w:p>
    <w:p w14:paraId="0FBC22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四、培育志愿“生力军”，构建文明实践“新生态”。</w:t>
      </w:r>
      <w:r>
        <w:rPr>
          <w:rFonts w:hint="eastAsia" w:ascii="仿宋" w:hAnsi="仿宋" w:eastAsia="仿宋" w:cs="仿宋"/>
          <w:sz w:val="32"/>
          <w:szCs w:val="32"/>
          <w:lang w:val="en-US" w:eastAsia="zh-CN"/>
        </w:rPr>
        <w:t>精心打造“红五星”“指尖手语”两支志愿服务团队，在疫情防控中组织志愿者参与秩序维护、核酸检测、物资配送等工作，累计服务时长超</w:t>
      </w:r>
      <w:r>
        <w:rPr>
          <w:rFonts w:hint="eastAsia"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万小时。在冬残奥会、服贸会等重大活动中，提供语言翻译、赛事引导、火炬传递等专业服务，展现志愿风采。常态化开展“情暖夕阳”助老、“爱心助学”帮扶等活动，累计为</w:t>
      </w:r>
      <w:r>
        <w:rPr>
          <w:rFonts w:hint="eastAsia" w:ascii="Times New Roman" w:hAnsi="Times New Roman" w:eastAsia="仿宋" w:cs="Times New Roman"/>
          <w:sz w:val="32"/>
          <w:szCs w:val="32"/>
          <w:lang w:val="en-US" w:eastAsia="zh-CN"/>
        </w:rPr>
        <w:t>1500</w:t>
      </w:r>
      <w:r>
        <w:rPr>
          <w:rFonts w:hint="eastAsia" w:ascii="仿宋" w:hAnsi="仿宋" w:eastAsia="仿宋" w:cs="仿宋"/>
          <w:sz w:val="32"/>
          <w:szCs w:val="32"/>
          <w:lang w:val="en-US" w:eastAsia="zh-CN"/>
        </w:rPr>
        <w:t>余名特殊群体提供关爱服务。组织党员群众发起爱心捐款，汇聚向善力量；常态化开展道路值守、环境维护等志愿服务，传播绿色环保理念，推动形成文明健康生活新风尚。创新“互联网+志愿服务”模式，在抖音平台开设“老兵书法公益讲堂”，吸引</w:t>
      </w:r>
      <w:r>
        <w:rPr>
          <w:rFonts w:hint="eastAsia"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万余名中小学生参与，为在京农民工子女提供线上书法辅导</w:t>
      </w:r>
      <w:r>
        <w:rPr>
          <w:rFonts w:hint="eastAsia" w:ascii="Times New Roman" w:hAnsi="Times New Roman" w:eastAsia="仿宋" w:cs="Times New Roman"/>
          <w:sz w:val="32"/>
          <w:szCs w:val="32"/>
          <w:lang w:val="en-US" w:eastAsia="zh-CN"/>
        </w:rPr>
        <w:t>200</w:t>
      </w:r>
      <w:r>
        <w:rPr>
          <w:rFonts w:hint="eastAsia" w:ascii="仿宋" w:hAnsi="仿宋" w:eastAsia="仿宋" w:cs="仿宋"/>
          <w:sz w:val="32"/>
          <w:szCs w:val="32"/>
          <w:lang w:val="en-US" w:eastAsia="zh-CN"/>
        </w:rPr>
        <w:t>余次。近年来，累计</w:t>
      </w:r>
      <w:r>
        <w:rPr>
          <w:rFonts w:hint="eastAsia"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万余人次参与志愿服务，服务时长近</w:t>
      </w:r>
      <w:r>
        <w:rPr>
          <w:rFonts w:hint="eastAsia"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万小时，形成“人人参与、人人奉献”的文明实践新风尚。</w:t>
      </w:r>
    </w:p>
    <w:p w14:paraId="01774CD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黑体" w:hAnsi="黑体" w:eastAsia="黑体" w:cs="黑体"/>
          <w:b w:val="0"/>
          <w:bCs w:val="0"/>
          <w:sz w:val="32"/>
          <w:szCs w:val="32"/>
          <w:lang w:val="en-US" w:eastAsia="zh-CN"/>
        </w:rPr>
        <w:t>五、践行服务“新理念”，创新作用发挥“新模式”。</w:t>
      </w:r>
      <w:r>
        <w:rPr>
          <w:rFonts w:hint="eastAsia" w:ascii="仿宋" w:hAnsi="仿宋" w:eastAsia="仿宋" w:cs="仿宋"/>
          <w:sz w:val="32"/>
          <w:szCs w:val="32"/>
          <w:lang w:val="en-US" w:eastAsia="zh-CN"/>
        </w:rPr>
        <w:t>作为社会组织，环山新视野主动承担社会治理创新使命。聚焦弱势群体需求，针对孤寡老人、残障人士、困境儿童等群体，开展精准帮扶项目。链接慈善基金会、爱心企业等资源，为多名困难群众提供生活照料、康复支持、心理疏导等服务。在基层治理、楼宇创新、文明城区创建等领域，主动担当作为，组织专业社工和专家深入社区、企业一线调研，聚焦民生痛点、发展堵点，积极开展社会服务与问题研究。同时，积极参政议政工作，组织撰写</w:t>
      </w:r>
      <w:r>
        <w:rPr>
          <w:rFonts w:hint="eastAsia" w:ascii="Times New Roman" w:hAnsi="Times New Roman" w:eastAsia="仿宋" w:cs="Times New Roman"/>
          <w:sz w:val="32"/>
          <w:szCs w:val="32"/>
          <w:lang w:val="en-US" w:eastAsia="zh-CN"/>
        </w:rPr>
        <w:t>300</w:t>
      </w:r>
      <w:r>
        <w:rPr>
          <w:rFonts w:hint="eastAsia" w:ascii="仿宋" w:hAnsi="仿宋" w:eastAsia="仿宋" w:cs="仿宋"/>
          <w:sz w:val="32"/>
          <w:szCs w:val="32"/>
          <w:lang w:val="en-US" w:eastAsia="zh-CN"/>
        </w:rPr>
        <w:t>余篇高质量社情民意信息，其中</w:t>
      </w:r>
      <w:r>
        <w:rPr>
          <w:rFonts w:hint="eastAsia"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篇被全国工商联采用、</w:t>
      </w:r>
      <w:r>
        <w:rPr>
          <w:rFonts w:hint="eastAsia"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篇被北京市委采纳、</w:t>
      </w:r>
      <w:r>
        <w:rPr>
          <w:rFonts w:hint="eastAsia"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余篇被北京市工商联采用。近日，环山新视野成功入选北京市工商联参政议政智库单位，事务所理事长陈涛正式被聘为北京市工商业联合会参政议证智库专委会委员，充分彰显社会组织服务社会、助力科学决策的重要价值。</w:t>
      </w:r>
    </w:p>
    <w:p w14:paraId="556386D6"/>
    <w:sectPr>
      <w:footerReference r:id="rId3" w:type="default"/>
      <w:pgSz w:w="11906" w:h="16838"/>
      <w:pgMar w:top="1327" w:right="1463" w:bottom="873"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000CEA-93F4-41CE-93FB-519E0B42B6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E9BAD31-154D-4139-9661-1523DBC8D653}"/>
  </w:font>
  <w:font w:name="仿宋_GB2312">
    <w:panose1 w:val="02010609030101010101"/>
    <w:charset w:val="86"/>
    <w:family w:val="auto"/>
    <w:pitch w:val="default"/>
    <w:sig w:usb0="00000001" w:usb1="080E0000" w:usb2="00000000" w:usb3="00000000" w:csb0="00040000" w:csb1="00000000"/>
    <w:embedRegular r:id="rId3" w:fontKey="{EEA78C83-A9F6-489E-A157-7E08B99E5548}"/>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D3727D7C-72C6-4495-8EA9-E08DB69F3603}"/>
  </w:font>
  <w:font w:name="仿宋">
    <w:panose1 w:val="02010609060101010101"/>
    <w:charset w:val="86"/>
    <w:family w:val="modern"/>
    <w:pitch w:val="default"/>
    <w:sig w:usb0="800002BF" w:usb1="38CF7CFA" w:usb2="00000016" w:usb3="00000000" w:csb0="00040001" w:csb1="00000000"/>
    <w:embedRegular r:id="rId5" w:fontKey="{C7021BF1-6FBF-44EE-9773-6343508BED25}"/>
  </w:font>
  <w:font w:name="Times New Roman Regular">
    <w:altName w:val="Times New Roman"/>
    <w:panose1 w:val="020B0604020202020204"/>
    <w:charset w:val="00"/>
    <w:family w:val="auto"/>
    <w:pitch w:val="default"/>
    <w:sig w:usb0="00000000" w:usb1="00000000" w:usb2="00000001" w:usb3="00000000" w:csb0="400001BF" w:csb1="DFF70000"/>
  </w:font>
  <w:font w:name="楷体_GB2312">
    <w:altName w:val="楷体"/>
    <w:panose1 w:val="02010609030101010101"/>
    <w:charset w:val="86"/>
    <w:family w:val="auto"/>
    <w:pitch w:val="default"/>
    <w:sig w:usb0="00000001" w:usb1="080E0000" w:usb2="00000000" w:usb3="00000000" w:csb0="00040000" w:csb1="00000000"/>
    <w:embedRegular r:id="rId6" w:fontKey="{BF9BC93A-F69F-4707-9A3D-64C29BC63BEB}"/>
  </w:font>
  <w:font w:name="方正公文小标宋">
    <w:panose1 w:val="02000500000000000000"/>
    <w:charset w:val="86"/>
    <w:family w:val="auto"/>
    <w:pitch w:val="default"/>
    <w:sig w:usb0="A00002BF" w:usb1="38CF7CFA" w:usb2="00000016" w:usb3="00000000" w:csb0="00040001" w:csb1="00000000"/>
    <w:embedRegular r:id="rId7" w:fontKey="{881B8EA6-BF38-4BDD-9547-462FDE185C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028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EEB002">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4EEB00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3CAAF"/>
    <w:multiLevelType w:val="singleLevel"/>
    <w:tmpl w:val="A383CAAF"/>
    <w:lvl w:ilvl="0" w:tentative="0">
      <w:start w:val="1"/>
      <w:numFmt w:val="chineseCounting"/>
      <w:suff w:val="nothing"/>
      <w:lvlText w:val="%1、"/>
      <w:lvlJc w:val="left"/>
      <w:rPr>
        <w:rFonts w:hint="eastAsia"/>
        <w:b w:val="0"/>
        <w:bCs w:val="0"/>
        <w:lang w:val="en-US"/>
      </w:rPr>
    </w:lvl>
  </w:abstractNum>
  <w:abstractNum w:abstractNumId="1">
    <w:nsid w:val="C41F48E2"/>
    <w:multiLevelType w:val="singleLevel"/>
    <w:tmpl w:val="C41F48E2"/>
    <w:lvl w:ilvl="0" w:tentative="0">
      <w:start w:val="1"/>
      <w:numFmt w:val="chineseCounting"/>
      <w:suff w:val="nothing"/>
      <w:lvlText w:val="%1、"/>
      <w:lvlJc w:val="left"/>
      <w:rPr>
        <w:rFonts w:hint="eastAsia"/>
      </w:rPr>
    </w:lvl>
  </w:abstractNum>
  <w:abstractNum w:abstractNumId="2">
    <w:nsid w:val="5FAD2F3D"/>
    <w:multiLevelType w:val="singleLevel"/>
    <w:tmpl w:val="5FAD2F3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B695B4"/>
    <w:rsid w:val="7A707017"/>
    <w:rsid w:val="E7B69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4"/>
    <w:qFormat/>
    <w:uiPriority w:val="0"/>
    <w:pPr>
      <w:ind w:firstLine="420" w:firstLineChars="100"/>
    </w:pPr>
  </w:style>
  <w:style w:type="paragraph" w:customStyle="1" w:styleId="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lang w:val="en-US" w:eastAsia="zh-CN" w:bidi="ar-SA"/>
    </w:rPr>
  </w:style>
  <w:style w:type="paragraph" w:customStyle="1" w:styleId="10">
    <w:name w:val="List Paragraph"/>
    <w:basedOn w:val="1"/>
    <w:qFormat/>
    <w:uiPriority w:val="34"/>
    <w:pPr>
      <w:ind w:firstLine="420" w:firstLineChars="200"/>
    </w:pPr>
    <w:rPr>
      <w:rFonts w:ascii="Times New Roman" w:hAnsi="Times New Roman" w:eastAsia="仿宋_GB2312" w:cs="Times New Roman"/>
      <w:sz w:val="32"/>
      <w:szCs w:val="24"/>
    </w:rPr>
  </w:style>
  <w:style w:type="paragraph" w:customStyle="1" w:styleId="11">
    <w:name w:val="_Style 24"/>
    <w:basedOn w:val="4"/>
    <w:next w:val="6"/>
    <w:qFormat/>
    <w:uiPriority w:val="0"/>
    <w:pPr>
      <w:ind w:firstLine="420" w:firstLineChars="100"/>
    </w:pPr>
    <w:rPr>
      <w:rFonts w:ascii="宋体" w:hAnsi="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7973</Words>
  <Characters>8324</Characters>
  <Lines>0</Lines>
  <Paragraphs>0</Paragraphs>
  <TotalTime>0</TotalTime>
  <ScaleCrop>false</ScaleCrop>
  <LinksUpToDate>false</LinksUpToDate>
  <CharactersWithSpaces>8338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2025-05-22T17:01:00Z</dcterms:created>
  <dc:creator>cjn</dc:creator>
  <cp:lastModifiedBy>依然</cp:lastModifiedBy>
  <dcterms:modified xsi:type="dcterms:W3CDTF">2025-05-22T09:14:09Z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C6DAA3FA45334704A49EA44F59485CC5_13</vt:lpwstr>
  </property>
</Properties>
</file>