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60" w:lineRule="exact"/>
        <w:rPr>
          <w:rFonts w:hint="eastAsia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tbl>
      <w:tblPr>
        <w:tblStyle w:val="4"/>
        <w:tblW w:w="14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78"/>
        <w:gridCol w:w="1361"/>
        <w:gridCol w:w="1443"/>
        <w:gridCol w:w="1527"/>
        <w:gridCol w:w="1544"/>
        <w:gridCol w:w="1605"/>
        <w:gridCol w:w="1970"/>
        <w:gridCol w:w="2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  <w:u w:val="single"/>
              </w:rPr>
            </w:pPr>
            <w:bookmarkStart w:id="0" w:name="_GoBack"/>
            <w:r>
              <w:rPr>
                <w:rStyle w:val="7"/>
                <w:rFonts w:hint="default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bidi="ar"/>
              </w:rPr>
              <w:t>市级社会团体分支（代表）机构专项整治行动自查自纠情况表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填报单位（盖章）：                              业务主管单位（盖章）：（如没有业务主管单位请填写“无”）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联系人：              联系电话：                报送日期：      年     月    日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25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基本情况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自查情况</w:t>
            </w: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整改情况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分支（代表）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机构全称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设立时间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设立方式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业务范围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组织机构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1"/>
                <w:szCs w:val="21"/>
                <w:lang w:bidi="ar"/>
              </w:rPr>
              <w:t>近两年开展的主要活动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1.……      2.…… 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textAlignment w:val="top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3.……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填报说明：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1.自查范围包括社会团体设立的所有分支机构（包括专项基金管理工作委员会）、代表机构；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2.设立时间：2014年之前成立的分支（代表）机构，以登记管理机关批复时间为准；2014年之后成立的，以会议审议通过时间为准；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3.设立方式：以会议形式审议通过的，需写明会议时间和会议名称；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4.业务范围：详细填报本分支（代表）机构的业务领域和主要职责；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5.组织机构：主要填报本分支（代表）机构下设的各类机构名称；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6.近两年开展的主要活动：简要介绍2020年、2021年开展的主要活动情况，包括时间、地点、方式、人员等；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7.自查情况：对照本《通知》整治任务要求自查发现的问题情况，未发现问题填“无”；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8.整改情况：针对自查发现问题提出的整改措施、步骤、时限和进展等情况，自查未发现问题的填“无”。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503BF"/>
    <w:rsid w:val="24B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  <w:style w:type="character" w:customStyle="1" w:styleId="7">
    <w:name w:val="font51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2022-04-29T07:06:00Z</dcterms:created>
  <dc:creator>殷小球mono</dc:creator>
  <cp:lastModifiedBy>殷小球mono</cp:lastModifiedBy>
  <dcterms:modified xsi:type="dcterms:W3CDTF">2022-04-29T07:06:52Z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523C78D074C047E4A9BD04E501CB0B57</vt:lpwstr>
  </property>
</Properties>
</file>